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36B112E" w14:textId="2CD1C2A0" w:rsidR="00A218D5" w:rsidRDefault="00A218D5">
      <w:pPr>
        <w:rPr>
          <w:rStyle w:val="A8"/>
          <w:rFonts w:ascii="Source Sans Pro" w:hAnsi="Source Sans Pro" w:cstheme="minorBidi"/>
          <w:lang w:val="en-US"/>
        </w:rPr>
      </w:pPr>
      <w:r>
        <w:rPr>
          <w:rFonts w:ascii="Source Sans Pro" w:hAnsi="Source Sans Pro"/>
          <w:b/>
          <w:bCs/>
          <w:noProof/>
          <w:color w:val="FFFFFF"/>
          <w:sz w:val="30"/>
          <w:szCs w:val="30"/>
          <w:lang w:val="en-US"/>
        </w:rPr>
        <w:drawing>
          <wp:inline distT="0" distB="0" distL="0" distR="0" wp14:anchorId="4398DD57" wp14:editId="0ADA2DBF">
            <wp:extent cx="6251944" cy="8931275"/>
            <wp:effectExtent l="0" t="0" r="0" b="0"/>
            <wp:docPr id="1" name="Picture 1" descr="A picture containing text,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sign&#10;&#10;Description automatically generated"/>
                    <pic:cNvPicPr/>
                  </pic:nvPicPr>
                  <pic:blipFill rotWithShape="1">
                    <a:blip r:embed="rId7">
                      <a:extLst>
                        <a:ext uri="{28A0092B-C50C-407E-A947-70E740481C1C}">
                          <a14:useLocalDpi xmlns:a14="http://schemas.microsoft.com/office/drawing/2010/main" val="0"/>
                        </a:ext>
                      </a:extLst>
                    </a:blip>
                    <a:srcRect l="1491" t="1" r="1072" b="625"/>
                    <a:stretch/>
                  </pic:blipFill>
                  <pic:spPr bwMode="auto">
                    <a:xfrm>
                      <a:off x="0" y="0"/>
                      <a:ext cx="6252186" cy="8931620"/>
                    </a:xfrm>
                    <a:prstGeom prst="rect">
                      <a:avLst/>
                    </a:prstGeom>
                    <a:ln>
                      <a:noFill/>
                    </a:ln>
                    <a:extLst>
                      <a:ext uri="{53640926-AAD7-44D8-BBD7-CCE9431645EC}">
                        <a14:shadowObscured xmlns:a14="http://schemas.microsoft.com/office/drawing/2010/main"/>
                      </a:ext>
                    </a:extLst>
                  </pic:spPr>
                </pic:pic>
              </a:graphicData>
            </a:graphic>
          </wp:inline>
        </w:drawing>
      </w:r>
    </w:p>
    <w:p w14:paraId="1F22A067" w14:textId="6D6B961F" w:rsidR="00A218D5" w:rsidRDefault="00A218D5" w:rsidP="00A218D5">
      <w:pPr>
        <w:pStyle w:val="Default"/>
        <w:spacing w:line="261" w:lineRule="atLeast"/>
        <w:rPr>
          <w:rFonts w:cstheme="minorBidi"/>
          <w:color w:val="FFFFFF"/>
          <w:sz w:val="30"/>
          <w:szCs w:val="30"/>
        </w:rPr>
      </w:pPr>
      <w:r>
        <w:rPr>
          <w:rStyle w:val="A8"/>
          <w:rFonts w:cstheme="minorBidi"/>
        </w:rPr>
        <w:lastRenderedPageBreak/>
        <w:t xml:space="preserve">Submission to the Joint Standing Committee on the National Disability Insurance Scheme’s Inquiry into Independent Assessments </w:t>
      </w:r>
    </w:p>
    <w:p w14:paraId="0E705F5F" w14:textId="77777777" w:rsidR="00A218D5" w:rsidRDefault="00A218D5" w:rsidP="00A218D5">
      <w:pPr>
        <w:pStyle w:val="Default"/>
        <w:rPr>
          <w:rFonts w:cstheme="minorBidi"/>
          <w:color w:val="auto"/>
        </w:rPr>
        <w:sectPr w:rsidR="00A218D5">
          <w:footerReference w:type="even" r:id="rId8"/>
          <w:footerReference w:type="default" r:id="rId9"/>
          <w:pgSz w:w="11905" w:h="16837"/>
          <w:pgMar w:top="1400" w:right="900" w:bottom="0" w:left="900" w:header="720" w:footer="720" w:gutter="0"/>
          <w:cols w:space="720"/>
          <w:noEndnote/>
        </w:sectPr>
      </w:pPr>
    </w:p>
    <w:p w14:paraId="170EE721" w14:textId="77777777" w:rsidR="00A218D5" w:rsidRPr="00A218D5" w:rsidRDefault="00A218D5" w:rsidP="00A218D5">
      <w:pPr>
        <w:autoSpaceDE w:val="0"/>
        <w:autoSpaceDN w:val="0"/>
        <w:adjustRightInd w:val="0"/>
        <w:rPr>
          <w:rFonts w:ascii="Source Sans Pro" w:hAnsi="Source Sans Pro" w:cs="Source Sans Pro"/>
          <w:b/>
          <w:bCs/>
          <w:color w:val="000000"/>
          <w:lang w:val="en-US"/>
        </w:rPr>
      </w:pPr>
    </w:p>
    <w:p w14:paraId="60DADB0B" w14:textId="15C273BE" w:rsidR="00A218D5" w:rsidRPr="00A218D5" w:rsidRDefault="00A218D5" w:rsidP="00A218D5">
      <w:pPr>
        <w:pStyle w:val="Default"/>
        <w:spacing w:after="160" w:line="201" w:lineRule="atLeast"/>
        <w:rPr>
          <w:rFonts w:cstheme="minorBidi"/>
          <w:b/>
          <w:bCs/>
          <w:color w:val="2A4169"/>
          <w:sz w:val="32"/>
          <w:szCs w:val="32"/>
        </w:rPr>
      </w:pPr>
      <w:r w:rsidRPr="00A218D5">
        <w:rPr>
          <w:rFonts w:cstheme="minorBidi"/>
          <w:b/>
          <w:bCs/>
          <w:color w:val="2A4169"/>
          <w:sz w:val="32"/>
          <w:szCs w:val="32"/>
        </w:rPr>
        <w:t xml:space="preserve">Submission to the Joint Standing Committee on the NDIS </w:t>
      </w:r>
    </w:p>
    <w:p w14:paraId="5FDEECD4" w14:textId="77777777" w:rsidR="00A218D5" w:rsidRDefault="00A218D5" w:rsidP="00A218D5">
      <w:pPr>
        <w:pStyle w:val="Default"/>
        <w:spacing w:after="160" w:line="201" w:lineRule="atLeast"/>
        <w:rPr>
          <w:rFonts w:cstheme="minorBidi"/>
          <w:b/>
          <w:bCs/>
          <w:color w:val="2A4169"/>
          <w:sz w:val="20"/>
          <w:szCs w:val="20"/>
        </w:rPr>
      </w:pPr>
    </w:p>
    <w:p w14:paraId="16A59931" w14:textId="77777777" w:rsidR="00A218D5" w:rsidRDefault="00A218D5" w:rsidP="00A218D5">
      <w:pPr>
        <w:autoSpaceDE w:val="0"/>
        <w:autoSpaceDN w:val="0"/>
        <w:adjustRightInd w:val="0"/>
        <w:spacing w:after="160" w:line="201" w:lineRule="atLeast"/>
        <w:rPr>
          <w:rFonts w:ascii="Source Sans Pro" w:hAnsi="Source Sans Pro"/>
          <w:b/>
          <w:bCs/>
          <w:color w:val="2A4169"/>
          <w:sz w:val="20"/>
          <w:szCs w:val="20"/>
          <w:lang w:val="en-US"/>
        </w:rPr>
        <w:sectPr w:rsidR="00A218D5" w:rsidSect="00A218D5">
          <w:type w:val="continuous"/>
          <w:pgSz w:w="11905" w:h="16837"/>
          <w:pgMar w:top="1400" w:right="900" w:bottom="804" w:left="900" w:header="720" w:footer="720" w:gutter="0"/>
          <w:cols w:space="720"/>
          <w:noEndnote/>
        </w:sectPr>
      </w:pPr>
    </w:p>
    <w:p w14:paraId="764FA202" w14:textId="1B8B5585" w:rsidR="00A218D5" w:rsidRPr="00A218D5" w:rsidRDefault="00A218D5" w:rsidP="00A218D5">
      <w:pPr>
        <w:autoSpaceDE w:val="0"/>
        <w:autoSpaceDN w:val="0"/>
        <w:adjustRightInd w:val="0"/>
        <w:spacing w:after="160" w:line="201" w:lineRule="atLeast"/>
        <w:rPr>
          <w:b/>
          <w:bCs/>
          <w:color w:val="2A4169"/>
          <w:sz w:val="20"/>
          <w:szCs w:val="20"/>
        </w:rPr>
      </w:pPr>
      <w:r w:rsidRPr="00A218D5">
        <w:rPr>
          <w:rFonts w:ascii="Source Sans Pro" w:hAnsi="Source Sans Pro"/>
          <w:b/>
          <w:bCs/>
          <w:color w:val="2A4169"/>
          <w:sz w:val="20"/>
          <w:szCs w:val="20"/>
          <w:lang w:val="en-US"/>
        </w:rPr>
        <w:t xml:space="preserve">This submission is made on behalf of researchers from the Centre of Research Excellence in Disability </w:t>
      </w:r>
      <w:r w:rsidRPr="00A218D5">
        <w:rPr>
          <w:rFonts w:ascii="Source Sans Pro" w:hAnsi="Source Sans Pro"/>
          <w:b/>
          <w:bCs/>
          <w:color w:val="2A4169"/>
          <w:sz w:val="20"/>
          <w:szCs w:val="20"/>
          <w:lang w:val="en-US"/>
        </w:rPr>
        <w:t xml:space="preserve">and </w:t>
      </w:r>
      <w:r w:rsidRPr="00A218D5">
        <w:rPr>
          <w:b/>
          <w:bCs/>
          <w:color w:val="2A4169"/>
          <w:sz w:val="20"/>
          <w:szCs w:val="20"/>
        </w:rPr>
        <w:t>Health</w:t>
      </w:r>
      <w:r w:rsidRPr="00A218D5">
        <w:rPr>
          <w:b/>
          <w:bCs/>
          <w:color w:val="2A4169"/>
          <w:sz w:val="20"/>
          <w:szCs w:val="20"/>
        </w:rPr>
        <w:t xml:space="preserve"> (CRE-DH) funded by the National Health and Medical Research Council, 7 April 2021. </w:t>
      </w:r>
    </w:p>
    <w:p w14:paraId="08076BB9" w14:textId="68071638" w:rsidR="00A218D5" w:rsidRDefault="00A218D5" w:rsidP="00A218D5">
      <w:pPr>
        <w:pStyle w:val="Default"/>
        <w:spacing w:after="160" w:line="201" w:lineRule="atLeast"/>
        <w:rPr>
          <w:color w:val="2A4169"/>
          <w:sz w:val="20"/>
          <w:szCs w:val="20"/>
        </w:rPr>
      </w:pPr>
      <w:r>
        <w:rPr>
          <w:color w:val="2A4169"/>
          <w:sz w:val="20"/>
          <w:szCs w:val="20"/>
        </w:rPr>
        <w:t xml:space="preserve">Our submission to the committee comments on issues in relation to a range of the terms of references outlined for this inquiry. We are concerned that the introduction of Independent Assessments (IAs) will be damaging to current and potential NDIS participants and the ‘consultation’ process on this policy has not been consistent with the core principles of the scheme including co-design and choice and control. IAs have been justified on the basis that they will lead to consistency and therefore be more equitable, concentrate function rather than medical diagnosis, and Scheme sustainability. We believe that they fail on all these objectives and that their use will exacerbate inequities in practice. </w:t>
      </w:r>
    </w:p>
    <w:p w14:paraId="1FBC5221"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Against this background we are calling for: </w:t>
      </w:r>
    </w:p>
    <w:p w14:paraId="16A77F20" w14:textId="77777777" w:rsidR="00A218D5" w:rsidRDefault="00A218D5" w:rsidP="00A218D5">
      <w:pPr>
        <w:pStyle w:val="Default"/>
        <w:numPr>
          <w:ilvl w:val="0"/>
          <w:numId w:val="3"/>
        </w:numPr>
        <w:spacing w:after="14"/>
        <w:rPr>
          <w:color w:val="2A4169"/>
          <w:sz w:val="20"/>
          <w:szCs w:val="20"/>
        </w:rPr>
      </w:pPr>
      <w:r>
        <w:rPr>
          <w:color w:val="2A4169"/>
          <w:sz w:val="20"/>
          <w:szCs w:val="20"/>
        </w:rPr>
        <w:t xml:space="preserve">A halt to the implementation of IAs </w:t>
      </w:r>
    </w:p>
    <w:p w14:paraId="32C4BEE0" w14:textId="77777777" w:rsidR="00A218D5" w:rsidRDefault="00A218D5" w:rsidP="00A218D5">
      <w:pPr>
        <w:pStyle w:val="Default"/>
        <w:numPr>
          <w:ilvl w:val="0"/>
          <w:numId w:val="3"/>
        </w:numPr>
        <w:spacing w:after="14"/>
        <w:rPr>
          <w:color w:val="2A4169"/>
          <w:sz w:val="20"/>
          <w:szCs w:val="20"/>
        </w:rPr>
      </w:pPr>
      <w:r>
        <w:rPr>
          <w:color w:val="2A4169"/>
          <w:sz w:val="20"/>
          <w:szCs w:val="20"/>
        </w:rPr>
        <w:t xml:space="preserve">A commitment to release pilot data collected to date including how they were used to determine funding outcomes </w:t>
      </w:r>
    </w:p>
    <w:p w14:paraId="40DB5F75" w14:textId="77777777" w:rsidR="00A218D5" w:rsidRDefault="00A218D5" w:rsidP="00A218D5">
      <w:pPr>
        <w:pStyle w:val="Default"/>
        <w:numPr>
          <w:ilvl w:val="0"/>
          <w:numId w:val="3"/>
        </w:numPr>
        <w:spacing w:after="14"/>
        <w:rPr>
          <w:color w:val="2A4169"/>
          <w:sz w:val="20"/>
          <w:szCs w:val="20"/>
        </w:rPr>
      </w:pPr>
      <w:r>
        <w:rPr>
          <w:color w:val="2A4169"/>
          <w:sz w:val="20"/>
          <w:szCs w:val="20"/>
        </w:rPr>
        <w:t xml:space="preserve">A commitment to co-produce any future functional assessment component of the scheme and its evaluation with people with disability and other stakeholders with expertise in the area including academics and allied health professionals </w:t>
      </w:r>
    </w:p>
    <w:p w14:paraId="3AE9DB4E" w14:textId="77777777" w:rsidR="00A218D5" w:rsidRDefault="00A218D5" w:rsidP="00A218D5">
      <w:pPr>
        <w:pStyle w:val="Default"/>
        <w:numPr>
          <w:ilvl w:val="0"/>
          <w:numId w:val="3"/>
        </w:numPr>
        <w:spacing w:after="14"/>
        <w:rPr>
          <w:color w:val="2A4169"/>
          <w:sz w:val="20"/>
          <w:szCs w:val="20"/>
        </w:rPr>
      </w:pPr>
      <w:r>
        <w:rPr>
          <w:color w:val="2A4169"/>
          <w:sz w:val="20"/>
          <w:szCs w:val="20"/>
        </w:rPr>
        <w:t xml:space="preserve">A commitment to rigorous evaluation of functional assessments against their purpose of allocation of budgets for reasonable and necessary supports that meet participants’ goals </w:t>
      </w:r>
    </w:p>
    <w:p w14:paraId="388F03F9" w14:textId="77777777" w:rsidR="00A218D5" w:rsidRDefault="00A218D5" w:rsidP="00A218D5">
      <w:pPr>
        <w:pStyle w:val="Default"/>
        <w:numPr>
          <w:ilvl w:val="0"/>
          <w:numId w:val="3"/>
        </w:numPr>
        <w:spacing w:after="14"/>
        <w:rPr>
          <w:color w:val="2A4169"/>
          <w:sz w:val="20"/>
          <w:szCs w:val="20"/>
        </w:rPr>
      </w:pPr>
      <w:r>
        <w:rPr>
          <w:color w:val="2A4169"/>
          <w:sz w:val="20"/>
          <w:szCs w:val="20"/>
        </w:rPr>
        <w:t xml:space="preserve">A commitment to not use functional assessments as the sole (or main) basis of funding decisions </w:t>
      </w:r>
    </w:p>
    <w:p w14:paraId="6198299E" w14:textId="77777777" w:rsidR="00A218D5" w:rsidRDefault="00A218D5" w:rsidP="00A218D5">
      <w:pPr>
        <w:pStyle w:val="Default"/>
        <w:numPr>
          <w:ilvl w:val="0"/>
          <w:numId w:val="3"/>
        </w:numPr>
        <w:spacing w:after="14"/>
        <w:rPr>
          <w:color w:val="2A4169"/>
          <w:sz w:val="20"/>
          <w:szCs w:val="20"/>
        </w:rPr>
      </w:pPr>
      <w:r>
        <w:rPr>
          <w:color w:val="2A4169"/>
          <w:sz w:val="20"/>
          <w:szCs w:val="20"/>
        </w:rPr>
        <w:t xml:space="preserve">A commitment to determining ‘reasonable and necessary’ support </w:t>
      </w:r>
      <w:proofErr w:type="gramStart"/>
      <w:r>
        <w:rPr>
          <w:color w:val="2A4169"/>
          <w:sz w:val="20"/>
          <w:szCs w:val="20"/>
        </w:rPr>
        <w:t>on the basis of</w:t>
      </w:r>
      <w:proofErr w:type="gramEnd"/>
      <w:r>
        <w:rPr>
          <w:color w:val="2A4169"/>
          <w:sz w:val="20"/>
          <w:szCs w:val="20"/>
        </w:rPr>
        <w:t xml:space="preserve"> individual goals </w:t>
      </w:r>
    </w:p>
    <w:p w14:paraId="25817B26" w14:textId="77777777" w:rsidR="00A218D5" w:rsidRDefault="00A218D5" w:rsidP="00A218D5">
      <w:pPr>
        <w:pStyle w:val="Default"/>
        <w:numPr>
          <w:ilvl w:val="0"/>
          <w:numId w:val="3"/>
        </w:numPr>
        <w:rPr>
          <w:color w:val="2A4169"/>
          <w:sz w:val="20"/>
          <w:szCs w:val="20"/>
        </w:rPr>
      </w:pPr>
      <w:r>
        <w:rPr>
          <w:color w:val="2A4169"/>
          <w:sz w:val="20"/>
          <w:szCs w:val="20"/>
        </w:rPr>
        <w:t xml:space="preserve">A commitment to promoting equity through investment in advocacy and development of culturally appropriate services in areas of need. </w:t>
      </w:r>
    </w:p>
    <w:p w14:paraId="735E3818" w14:textId="77777777" w:rsidR="00A218D5" w:rsidRDefault="00A218D5" w:rsidP="00A218D5">
      <w:pPr>
        <w:pStyle w:val="Default"/>
        <w:rPr>
          <w:color w:val="2A4169"/>
          <w:sz w:val="20"/>
          <w:szCs w:val="20"/>
        </w:rPr>
      </w:pPr>
    </w:p>
    <w:p w14:paraId="009AE204" w14:textId="77777777" w:rsidR="00A218D5" w:rsidRDefault="00A218D5" w:rsidP="00A218D5">
      <w:pPr>
        <w:pStyle w:val="Pa2"/>
        <w:spacing w:after="160"/>
        <w:rPr>
          <w:rFonts w:cs="Source Sans Pro"/>
          <w:color w:val="2A4169"/>
          <w:sz w:val="23"/>
          <w:szCs w:val="23"/>
        </w:rPr>
      </w:pPr>
      <w:proofErr w:type="spellStart"/>
      <w:r>
        <w:rPr>
          <w:rStyle w:val="A5"/>
          <w:sz w:val="23"/>
          <w:szCs w:val="23"/>
        </w:rPr>
        <w:t>ToR</w:t>
      </w:r>
      <w:proofErr w:type="spellEnd"/>
      <w:r>
        <w:rPr>
          <w:rStyle w:val="A5"/>
          <w:sz w:val="23"/>
          <w:szCs w:val="23"/>
        </w:rPr>
        <w:t xml:space="preserve"> 1: The development, modelling, </w:t>
      </w:r>
      <w:proofErr w:type="gramStart"/>
      <w:r>
        <w:rPr>
          <w:rStyle w:val="A5"/>
          <w:sz w:val="23"/>
          <w:szCs w:val="23"/>
        </w:rPr>
        <w:t>reasons</w:t>
      </w:r>
      <w:proofErr w:type="gramEnd"/>
      <w:r>
        <w:rPr>
          <w:rStyle w:val="A5"/>
          <w:sz w:val="23"/>
          <w:szCs w:val="23"/>
        </w:rPr>
        <w:t xml:space="preserve"> and justifications for the introduction of independent assessments into the NDIS </w:t>
      </w:r>
    </w:p>
    <w:p w14:paraId="50DD5924" w14:textId="77777777" w:rsidR="00A218D5" w:rsidRDefault="00A218D5" w:rsidP="00A218D5">
      <w:pPr>
        <w:pStyle w:val="Pa2"/>
        <w:spacing w:after="160"/>
        <w:rPr>
          <w:rFonts w:cs="Source Sans Pro"/>
          <w:color w:val="2A4169"/>
          <w:sz w:val="20"/>
          <w:szCs w:val="20"/>
        </w:rPr>
      </w:pPr>
      <w:proofErr w:type="gramStart"/>
      <w:r>
        <w:rPr>
          <w:rFonts w:cs="Source Sans Pro"/>
          <w:color w:val="2A4169"/>
          <w:sz w:val="20"/>
          <w:szCs w:val="20"/>
        </w:rPr>
        <w:t>A number of</w:t>
      </w:r>
      <w:proofErr w:type="gramEnd"/>
      <w:r>
        <w:rPr>
          <w:rFonts w:cs="Source Sans Pro"/>
          <w:color w:val="2A4169"/>
          <w:sz w:val="20"/>
          <w:szCs w:val="20"/>
        </w:rPr>
        <w:t xml:space="preserve"> justifications for IAs have been made. These include that: a) that they appear in the original </w:t>
      </w:r>
      <w:r>
        <w:rPr>
          <w:rFonts w:cs="Source Sans Pro"/>
          <w:color w:val="2A4169"/>
          <w:sz w:val="20"/>
          <w:szCs w:val="20"/>
        </w:rPr>
        <w:t xml:space="preserve">Productivity Commission report and the Tune review; b) lead to consistency and therefore are more equitable; c) they take the environment into account; d) they concentrate on function rather than medical diagnosis, and e) they will support Scheme sustainability. </w:t>
      </w:r>
    </w:p>
    <w:p w14:paraId="56B1A1EE" w14:textId="77777777" w:rsidR="00A218D5" w:rsidRDefault="00A218D5" w:rsidP="00A218D5">
      <w:pPr>
        <w:pStyle w:val="Pa2"/>
        <w:spacing w:after="160"/>
        <w:rPr>
          <w:rFonts w:ascii="Source Sans Pro Semibold" w:hAnsi="Source Sans Pro Semibold" w:cs="Source Sans Pro Semibold"/>
          <w:color w:val="2A4169"/>
          <w:sz w:val="22"/>
          <w:szCs w:val="22"/>
        </w:rPr>
      </w:pPr>
      <w:r>
        <w:rPr>
          <w:rStyle w:val="A6"/>
        </w:rPr>
        <w:t xml:space="preserve">a) Productivity Commission report and Tune Review </w:t>
      </w:r>
    </w:p>
    <w:p w14:paraId="779E0352" w14:textId="77777777" w:rsidR="00A218D5" w:rsidRDefault="00A218D5" w:rsidP="00A218D5">
      <w:pPr>
        <w:pStyle w:val="Pa2"/>
        <w:spacing w:after="160"/>
        <w:rPr>
          <w:rFonts w:cs="Source Sans Pro"/>
          <w:color w:val="2A4169"/>
          <w:sz w:val="20"/>
          <w:szCs w:val="20"/>
        </w:rPr>
      </w:pPr>
      <w:r>
        <w:rPr>
          <w:rFonts w:cs="Source Sans Pro"/>
          <w:color w:val="2A4169"/>
          <w:sz w:val="20"/>
          <w:szCs w:val="20"/>
        </w:rPr>
        <w:t>The blueprint for the NDIS, created by the Productivity Commission (PC</w:t>
      </w:r>
      <w:proofErr w:type="gramStart"/>
      <w:r>
        <w:rPr>
          <w:rFonts w:cs="Source Sans Pro"/>
          <w:color w:val="2A4169"/>
          <w:sz w:val="20"/>
          <w:szCs w:val="20"/>
        </w:rPr>
        <w:t>)</w:t>
      </w:r>
      <w:r>
        <w:rPr>
          <w:rStyle w:val="A7"/>
        </w:rPr>
        <w:t>(</w:t>
      </w:r>
      <w:proofErr w:type="gramEnd"/>
      <w:r>
        <w:rPr>
          <w:rStyle w:val="A7"/>
        </w:rPr>
        <w:t>1)</w:t>
      </w:r>
      <w:r>
        <w:rPr>
          <w:rFonts w:cs="Source Sans Pro"/>
          <w:color w:val="2A4169"/>
          <w:sz w:val="20"/>
          <w:szCs w:val="20"/>
        </w:rPr>
        <w:t xml:space="preserve">, has been used by the CEO of the NDIA to support the use of IAs. We contend this is a misreading of the document. The PC said assessors should be independent (e.g., health professionals and allied health care workers, not government contracted professionals). The concern for </w:t>
      </w:r>
      <w:proofErr w:type="spellStart"/>
      <w:r>
        <w:rPr>
          <w:rFonts w:cs="Source Sans Pro"/>
          <w:color w:val="2A4169"/>
          <w:sz w:val="20"/>
          <w:szCs w:val="20"/>
        </w:rPr>
        <w:t>standardisation</w:t>
      </w:r>
      <w:proofErr w:type="spellEnd"/>
      <w:r>
        <w:rPr>
          <w:rFonts w:cs="Source Sans Pro"/>
          <w:color w:val="2A4169"/>
          <w:sz w:val="20"/>
          <w:szCs w:val="20"/>
        </w:rPr>
        <w:t xml:space="preserve"> in the PC design was not with assessment, but rather what follows. That is, once materials had been collected by potential participants the </w:t>
      </w:r>
      <w:r>
        <w:rPr>
          <w:rFonts w:cs="Source Sans Pro"/>
          <w:i/>
          <w:iCs/>
          <w:color w:val="2A4169"/>
          <w:sz w:val="20"/>
          <w:szCs w:val="20"/>
        </w:rPr>
        <w:t xml:space="preserve">process of assessing </w:t>
      </w:r>
      <w:r>
        <w:rPr>
          <w:rFonts w:cs="Source Sans Pro"/>
          <w:color w:val="2A4169"/>
          <w:sz w:val="20"/>
          <w:szCs w:val="20"/>
        </w:rPr>
        <w:t xml:space="preserve">these reports is </w:t>
      </w:r>
      <w:proofErr w:type="spellStart"/>
      <w:r>
        <w:rPr>
          <w:rFonts w:cs="Source Sans Pro"/>
          <w:color w:val="2A4169"/>
          <w:sz w:val="20"/>
          <w:szCs w:val="20"/>
        </w:rPr>
        <w:t>standardised</w:t>
      </w:r>
      <w:proofErr w:type="spellEnd"/>
      <w:r>
        <w:rPr>
          <w:rFonts w:cs="Source Sans Pro"/>
          <w:color w:val="2A4169"/>
          <w:sz w:val="20"/>
          <w:szCs w:val="20"/>
        </w:rPr>
        <w:t xml:space="preserve">. </w:t>
      </w:r>
    </w:p>
    <w:p w14:paraId="03F25528"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The clause within the PC blueprint used to justify IAs similarly covers all medical professionals already providing reports for NDIS participants. At present, applicants submit evidence from medical professionals and specialists. The CEO of the NDIA has stated in his submission to the JSC that these professionals may have ‘sympathy </w:t>
      </w:r>
      <w:proofErr w:type="spellStart"/>
      <w:r>
        <w:rPr>
          <w:rFonts w:cs="Source Sans Pro"/>
          <w:color w:val="2A4169"/>
          <w:sz w:val="20"/>
          <w:szCs w:val="20"/>
        </w:rPr>
        <w:t>bias</w:t>
      </w:r>
      <w:proofErr w:type="gramStart"/>
      <w:r>
        <w:rPr>
          <w:rFonts w:cs="Source Sans Pro"/>
          <w:color w:val="2A4169"/>
          <w:sz w:val="20"/>
          <w:szCs w:val="20"/>
        </w:rPr>
        <w:t>’</w:t>
      </w:r>
      <w:proofErr w:type="spellEnd"/>
      <w:r>
        <w:rPr>
          <w:rStyle w:val="A7"/>
        </w:rPr>
        <w:t>(</w:t>
      </w:r>
      <w:proofErr w:type="gramEnd"/>
      <w:r>
        <w:rPr>
          <w:rStyle w:val="A7"/>
        </w:rPr>
        <w:t>2)</w:t>
      </w:r>
      <w:r>
        <w:rPr>
          <w:rFonts w:cs="Source Sans Pro"/>
          <w:color w:val="2A4169"/>
          <w:sz w:val="20"/>
          <w:szCs w:val="20"/>
        </w:rPr>
        <w:t xml:space="preserve">, while IAs will not. There is no reason to think that these highly trained professionals have a ‘sympathy </w:t>
      </w:r>
      <w:proofErr w:type="spellStart"/>
      <w:r>
        <w:rPr>
          <w:rFonts w:cs="Source Sans Pro"/>
          <w:color w:val="2A4169"/>
          <w:sz w:val="20"/>
          <w:szCs w:val="20"/>
        </w:rPr>
        <w:t>bias’</w:t>
      </w:r>
      <w:proofErr w:type="spellEnd"/>
      <w:r>
        <w:rPr>
          <w:rFonts w:cs="Source Sans Pro"/>
          <w:color w:val="2A4169"/>
          <w:sz w:val="20"/>
          <w:szCs w:val="20"/>
        </w:rPr>
        <w:t xml:space="preserve"> and are not independent. One could argue, in fact, they are more independent than a contractor working for the NDIA who feels accountable to that body and not people with disability. </w:t>
      </w:r>
    </w:p>
    <w:p w14:paraId="02B99675"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Similarly, the CEO of the NDIA uses the Tune </w:t>
      </w:r>
      <w:proofErr w:type="gramStart"/>
      <w:r>
        <w:rPr>
          <w:rFonts w:cs="Source Sans Pro"/>
          <w:color w:val="2A4169"/>
          <w:sz w:val="20"/>
          <w:szCs w:val="20"/>
        </w:rPr>
        <w:t>Review</w:t>
      </w:r>
      <w:r>
        <w:rPr>
          <w:rStyle w:val="A7"/>
        </w:rPr>
        <w:t>(</w:t>
      </w:r>
      <w:proofErr w:type="gramEnd"/>
      <w:r>
        <w:rPr>
          <w:rStyle w:val="A7"/>
        </w:rPr>
        <w:t xml:space="preserve">3) </w:t>
      </w:r>
      <w:r>
        <w:rPr>
          <w:rFonts w:cs="Source Sans Pro"/>
          <w:color w:val="2A4169"/>
          <w:sz w:val="20"/>
          <w:szCs w:val="20"/>
        </w:rPr>
        <w:t xml:space="preserve">to support the use of IAs stating that the review reinforced the importance of implementing more equitable assessments to support consistency in decision making. We return to the issue of equity and consistency below, but here simply note that the process surrounding the assessments proposed in the Tune Review differ from those being suggested in the current reforms in some important ways. Specifically, there is: a lack of co-design and proper consultation; a lack of discretion in independent assessments to ensure they are consistent with the NDIS Act; </w:t>
      </w:r>
      <w:proofErr w:type="gramStart"/>
      <w:r>
        <w:rPr>
          <w:rFonts w:cs="Source Sans Pro"/>
          <w:color w:val="2A4169"/>
          <w:sz w:val="20"/>
          <w:szCs w:val="20"/>
        </w:rPr>
        <w:t>and,</w:t>
      </w:r>
      <w:proofErr w:type="gramEnd"/>
      <w:r>
        <w:rPr>
          <w:rFonts w:cs="Source Sans Pro"/>
          <w:color w:val="2A4169"/>
          <w:sz w:val="20"/>
          <w:szCs w:val="20"/>
        </w:rPr>
        <w:t xml:space="preserve"> a lack of protections such as a participant’s right to challenge assessment results. These aspects are crucial in ensuring that this process operates as an effective functional assessment and not simply as a cost-cutting measure. Further, release of the </w:t>
      </w:r>
      <w:r>
        <w:rPr>
          <w:rFonts w:cs="Source Sans Pro"/>
          <w:color w:val="2A4169"/>
          <w:sz w:val="20"/>
          <w:szCs w:val="20"/>
        </w:rPr>
        <w:lastRenderedPageBreak/>
        <w:t xml:space="preserve">draft Tune Review report, accessed under Freedom of Information, suggests that the chapter on IAs was not part of the report authored by Tune, but inserted by the Commonwealth government. </w:t>
      </w:r>
    </w:p>
    <w:p w14:paraId="24CDBF74" w14:textId="77777777" w:rsidR="00A218D5" w:rsidRDefault="00A218D5" w:rsidP="00A218D5">
      <w:pPr>
        <w:pStyle w:val="Pa2"/>
        <w:spacing w:after="160"/>
        <w:rPr>
          <w:rFonts w:ascii="Source Sans Pro Semibold" w:hAnsi="Source Sans Pro Semibold" w:cs="Source Sans Pro Semibold"/>
          <w:color w:val="2A4169"/>
          <w:sz w:val="22"/>
          <w:szCs w:val="22"/>
        </w:rPr>
      </w:pPr>
      <w:r>
        <w:rPr>
          <w:rStyle w:val="A6"/>
        </w:rPr>
        <w:t xml:space="preserve">b) Consistency and equity </w:t>
      </w:r>
    </w:p>
    <w:p w14:paraId="594B87FC" w14:textId="1AEBF07A" w:rsidR="00A218D5" w:rsidRDefault="00A218D5" w:rsidP="00A218D5">
      <w:pPr>
        <w:pStyle w:val="Pa2"/>
        <w:spacing w:after="160"/>
        <w:rPr>
          <w:rFonts w:cs="Source Sans Pro"/>
          <w:color w:val="2A4169"/>
          <w:sz w:val="20"/>
          <w:szCs w:val="20"/>
        </w:rPr>
      </w:pPr>
      <w:r>
        <w:rPr>
          <w:rFonts w:cs="Source Sans Pro"/>
          <w:color w:val="2A4169"/>
          <w:sz w:val="20"/>
          <w:szCs w:val="20"/>
        </w:rPr>
        <w:t xml:space="preserve">Minister Robert has argued that the introduction of IAs will make the process of applying to the NDIS and receiving a plan, “simpler, fairer and more consistent for participants, and their families and </w:t>
      </w:r>
      <w:proofErr w:type="spellStart"/>
      <w:proofErr w:type="gramStart"/>
      <w:r>
        <w:rPr>
          <w:rFonts w:cs="Source Sans Pro"/>
          <w:color w:val="2A4169"/>
          <w:sz w:val="20"/>
          <w:szCs w:val="20"/>
        </w:rPr>
        <w:t>carers</w:t>
      </w:r>
      <w:proofErr w:type="spellEnd"/>
      <w:r>
        <w:rPr>
          <w:rFonts w:cs="Source Sans Pro"/>
          <w:color w:val="2A4169"/>
          <w:sz w:val="20"/>
          <w:szCs w:val="20"/>
        </w:rPr>
        <w:t>”</w:t>
      </w:r>
      <w:r>
        <w:rPr>
          <w:rStyle w:val="A7"/>
        </w:rPr>
        <w:t>(</w:t>
      </w:r>
      <w:proofErr w:type="gramEnd"/>
      <w:r>
        <w:rPr>
          <w:rStyle w:val="A7"/>
        </w:rPr>
        <w:t>4)</w:t>
      </w:r>
      <w:r>
        <w:rPr>
          <w:rFonts w:cs="Source Sans Pro"/>
          <w:color w:val="2A4169"/>
          <w:sz w:val="20"/>
          <w:szCs w:val="20"/>
        </w:rPr>
        <w:t xml:space="preserve">. While we would not disagree that the NDIS has a number of inequities within it (see, for example, </w:t>
      </w:r>
      <w:r>
        <w:rPr>
          <w:rStyle w:val="A7"/>
        </w:rPr>
        <w:t>5, 6, 7</w:t>
      </w:r>
      <w:r>
        <w:rPr>
          <w:rFonts w:cs="Source Sans Pro"/>
          <w:color w:val="2A4169"/>
          <w:sz w:val="20"/>
          <w:szCs w:val="20"/>
        </w:rPr>
        <w:t>), we do not believe the picture is a simple as has been portrayed in the media by the Minister where he has compared different urban and regional and rural areas in terms of plan size</w:t>
      </w:r>
      <w:r>
        <w:rPr>
          <w:rStyle w:val="A7"/>
        </w:rPr>
        <w:t>(4)</w:t>
      </w:r>
      <w:r>
        <w:rPr>
          <w:rFonts w:cs="Source Sans Pro"/>
          <w:color w:val="2A4169"/>
          <w:sz w:val="20"/>
          <w:szCs w:val="20"/>
        </w:rPr>
        <w:t xml:space="preserve">, when there are many reasons why we might see these differences such as people with more complex disabilities moving closer to services and concentration of high-intensity supports such as Supported Independent Living in these areas. The statistics that are currently being presented are misleading and do not compare ‘like with like’. </w:t>
      </w:r>
      <w:r>
        <w:rPr>
          <w:rFonts w:cs="Source Sans Pro"/>
          <w:b/>
          <w:bCs/>
          <w:color w:val="2A4169"/>
          <w:sz w:val="20"/>
          <w:szCs w:val="20"/>
        </w:rPr>
        <w:t xml:space="preserve">We urge the JSC to </w:t>
      </w:r>
      <w:proofErr w:type="gramStart"/>
      <w:r>
        <w:rPr>
          <w:rFonts w:cs="Source Sans Pro"/>
          <w:b/>
          <w:bCs/>
          <w:color w:val="2A4169"/>
          <w:sz w:val="20"/>
          <w:szCs w:val="20"/>
        </w:rPr>
        <w:t>look into</w:t>
      </w:r>
      <w:proofErr w:type="gramEnd"/>
      <w:r>
        <w:rPr>
          <w:rFonts w:cs="Source Sans Pro"/>
          <w:b/>
          <w:bCs/>
          <w:color w:val="2A4169"/>
          <w:sz w:val="20"/>
          <w:szCs w:val="20"/>
        </w:rPr>
        <w:t xml:space="preserve"> this more carefully before accepting these arguments at face value. </w:t>
      </w:r>
      <w:r>
        <w:rPr>
          <w:rFonts w:cs="Source Sans Pro"/>
          <w:color w:val="2A4169"/>
          <w:sz w:val="20"/>
          <w:szCs w:val="20"/>
        </w:rPr>
        <w:t xml:space="preserve">The critical issue may not be plan size, but </w:t>
      </w:r>
      <w:proofErr w:type="spellStart"/>
      <w:r>
        <w:rPr>
          <w:rFonts w:cs="Source Sans Pro"/>
          <w:color w:val="2A4169"/>
          <w:sz w:val="20"/>
          <w:szCs w:val="20"/>
        </w:rPr>
        <w:t>utilisation</w:t>
      </w:r>
      <w:proofErr w:type="spellEnd"/>
      <w:r>
        <w:rPr>
          <w:rFonts w:cs="Source Sans Pro"/>
          <w:color w:val="2A4169"/>
          <w:sz w:val="20"/>
          <w:szCs w:val="20"/>
        </w:rPr>
        <w:t xml:space="preserve"> of plans which requires a much different response than IA – it is about improving access to services and empowerment of participants to use them. The latest data from the NDIA shows for example, the average </w:t>
      </w:r>
      <w:proofErr w:type="spellStart"/>
      <w:r>
        <w:rPr>
          <w:rFonts w:cs="Source Sans Pro"/>
          <w:color w:val="2A4169"/>
          <w:sz w:val="20"/>
          <w:szCs w:val="20"/>
        </w:rPr>
        <w:t>utilisation</w:t>
      </w:r>
      <w:proofErr w:type="spellEnd"/>
      <w:r>
        <w:rPr>
          <w:rFonts w:cs="Source Sans Pro"/>
          <w:color w:val="2A4169"/>
          <w:sz w:val="20"/>
          <w:szCs w:val="20"/>
        </w:rPr>
        <w:t xml:space="preserve"> rate for East Arnhem is just 33</w:t>
      </w:r>
      <w:proofErr w:type="gramStart"/>
      <w:r>
        <w:rPr>
          <w:rFonts w:cs="Source Sans Pro"/>
          <w:color w:val="2A4169"/>
          <w:sz w:val="20"/>
          <w:szCs w:val="20"/>
        </w:rPr>
        <w:t>%</w:t>
      </w:r>
      <w:r>
        <w:rPr>
          <w:rStyle w:val="A7"/>
        </w:rPr>
        <w:t>(</w:t>
      </w:r>
      <w:proofErr w:type="gramEnd"/>
      <w:r>
        <w:rPr>
          <w:rStyle w:val="A7"/>
        </w:rPr>
        <w:t>8)</w:t>
      </w:r>
      <w:r>
        <w:rPr>
          <w:rFonts w:cs="Source Sans Pro"/>
          <w:color w:val="2A4169"/>
          <w:sz w:val="20"/>
          <w:szCs w:val="20"/>
        </w:rPr>
        <w:t xml:space="preserve">. While there are a range of good reasons why </w:t>
      </w:r>
      <w:proofErr w:type="spellStart"/>
      <w:r>
        <w:rPr>
          <w:rFonts w:cs="Source Sans Pro"/>
          <w:color w:val="2A4169"/>
          <w:sz w:val="20"/>
          <w:szCs w:val="20"/>
        </w:rPr>
        <w:t>utilisation</w:t>
      </w:r>
      <w:proofErr w:type="spellEnd"/>
      <w:r>
        <w:rPr>
          <w:rFonts w:cs="Source Sans Pro"/>
          <w:color w:val="2A4169"/>
          <w:sz w:val="20"/>
          <w:szCs w:val="20"/>
        </w:rPr>
        <w:t xml:space="preserve"> rates will likely never be 100%, there are a significant proportion of areas within the country where these rates hover around the 60-70% mark. This shows that even if allocated budgets there are significant inequities in the ability to spend these. It is also possible that IAs are likely to </w:t>
      </w:r>
      <w:proofErr w:type="spellStart"/>
      <w:r>
        <w:rPr>
          <w:rFonts w:cs="Source Sans Pro"/>
          <w:color w:val="2A4169"/>
          <w:sz w:val="20"/>
          <w:szCs w:val="20"/>
        </w:rPr>
        <w:t>favour</w:t>
      </w:r>
      <w:proofErr w:type="spellEnd"/>
      <w:r>
        <w:rPr>
          <w:rFonts w:cs="Source Sans Pro"/>
          <w:color w:val="2A4169"/>
          <w:sz w:val="20"/>
          <w:szCs w:val="20"/>
        </w:rPr>
        <w:t xml:space="preserve"> those who know how to present their case to a government contracted official and operate within a specific administrative framework </w:t>
      </w:r>
      <w:r>
        <w:rPr>
          <w:rStyle w:val="A7"/>
        </w:rPr>
        <w:t>(9)</w:t>
      </w:r>
      <w:r>
        <w:rPr>
          <w:rFonts w:cs="Source Sans Pro"/>
          <w:color w:val="2A4169"/>
          <w:sz w:val="20"/>
          <w:szCs w:val="20"/>
        </w:rPr>
        <w:t xml:space="preserve">. </w:t>
      </w:r>
    </w:p>
    <w:p w14:paraId="41ACB8CC"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While on face value consistency might seem fair, there are major problems with this approach. </w:t>
      </w:r>
      <w:r>
        <w:rPr>
          <w:rFonts w:cs="Source Sans Pro"/>
          <w:b/>
          <w:bCs/>
          <w:color w:val="2A4169"/>
          <w:sz w:val="20"/>
          <w:szCs w:val="20"/>
        </w:rPr>
        <w:t xml:space="preserve">Consistency </w:t>
      </w:r>
      <w:r>
        <w:rPr>
          <w:rFonts w:cs="Source Sans Pro"/>
          <w:color w:val="2A4169"/>
          <w:sz w:val="20"/>
          <w:szCs w:val="20"/>
        </w:rPr>
        <w:t xml:space="preserve">is defined as the ability to get close conformity across different population groups (e.g., across different ethnic groups) </w:t>
      </w:r>
      <w:r>
        <w:rPr>
          <w:rStyle w:val="A7"/>
        </w:rPr>
        <w:t xml:space="preserve">(10) </w:t>
      </w:r>
      <w:r>
        <w:rPr>
          <w:rFonts w:cs="Source Sans Pro"/>
          <w:color w:val="2A4169"/>
          <w:sz w:val="20"/>
          <w:szCs w:val="20"/>
        </w:rPr>
        <w:t xml:space="preserve">when using instruments such as those proposed by the NDIA. It is unknown </w:t>
      </w:r>
      <w:proofErr w:type="gramStart"/>
      <w:r>
        <w:rPr>
          <w:rFonts w:cs="Source Sans Pro"/>
          <w:color w:val="2A4169"/>
          <w:sz w:val="20"/>
          <w:szCs w:val="20"/>
        </w:rPr>
        <w:t>at the moment</w:t>
      </w:r>
      <w:proofErr w:type="gramEnd"/>
      <w:r>
        <w:rPr>
          <w:rFonts w:cs="Source Sans Pro"/>
          <w:color w:val="2A4169"/>
          <w:sz w:val="20"/>
          <w:szCs w:val="20"/>
        </w:rPr>
        <w:t xml:space="preserve"> whether functional assessments meet this criterion although given what is known about use of instruments such as these in other contexts it is unlikely to be the case. (See </w:t>
      </w:r>
      <w:proofErr w:type="spellStart"/>
      <w:r>
        <w:rPr>
          <w:rFonts w:cs="Source Sans Pro"/>
          <w:color w:val="2A4169"/>
          <w:sz w:val="20"/>
          <w:szCs w:val="20"/>
        </w:rPr>
        <w:t>ToR</w:t>
      </w:r>
      <w:proofErr w:type="spellEnd"/>
      <w:r>
        <w:rPr>
          <w:rFonts w:cs="Source Sans Pro"/>
          <w:color w:val="2A4169"/>
          <w:sz w:val="20"/>
          <w:szCs w:val="20"/>
        </w:rPr>
        <w:t xml:space="preserve"> 5 on the appropriateness of the tools and </w:t>
      </w:r>
      <w:proofErr w:type="spellStart"/>
      <w:r>
        <w:rPr>
          <w:rFonts w:cs="Source Sans Pro"/>
          <w:color w:val="2A4169"/>
          <w:sz w:val="20"/>
          <w:szCs w:val="20"/>
        </w:rPr>
        <w:t>ToR</w:t>
      </w:r>
      <w:proofErr w:type="spellEnd"/>
      <w:r>
        <w:rPr>
          <w:rFonts w:cs="Source Sans Pro"/>
          <w:color w:val="2A4169"/>
          <w:sz w:val="20"/>
          <w:szCs w:val="20"/>
        </w:rPr>
        <w:t xml:space="preserve"> 10 on appropriateness across different groups for further elaboration on these critical issues). </w:t>
      </w:r>
    </w:p>
    <w:p w14:paraId="1A3A3351" w14:textId="77777777" w:rsidR="00A218D5" w:rsidRDefault="00A218D5" w:rsidP="00A218D5">
      <w:pPr>
        <w:pStyle w:val="Pa6"/>
        <w:spacing w:after="40"/>
        <w:rPr>
          <w:rFonts w:cs="Source Sans Pro"/>
          <w:color w:val="000000"/>
          <w:sz w:val="20"/>
          <w:szCs w:val="20"/>
        </w:rPr>
      </w:pPr>
      <w:r>
        <w:rPr>
          <w:rStyle w:val="A6"/>
        </w:rPr>
        <w:t xml:space="preserve">c) Environment and functioning </w:t>
      </w:r>
    </w:p>
    <w:p w14:paraId="45CF6FA9"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One of the major arguments the NDIA have put forward for these instruments is that they are consistent with the internationally accepted framework for </w:t>
      </w:r>
      <w:proofErr w:type="spellStart"/>
      <w:r>
        <w:rPr>
          <w:rFonts w:cs="Source Sans Pro"/>
          <w:color w:val="2A4169"/>
          <w:sz w:val="20"/>
          <w:szCs w:val="20"/>
        </w:rPr>
        <w:t>conceptualising</w:t>
      </w:r>
      <w:proofErr w:type="spellEnd"/>
      <w:r>
        <w:rPr>
          <w:rFonts w:cs="Source Sans Pro"/>
          <w:color w:val="2A4169"/>
          <w:sz w:val="20"/>
          <w:szCs w:val="20"/>
        </w:rPr>
        <w:t xml:space="preserve"> disability – the WHO International Classification for Functioning, Health and Disability (ICF</w:t>
      </w:r>
      <w:proofErr w:type="gramStart"/>
      <w:r>
        <w:rPr>
          <w:rFonts w:cs="Source Sans Pro"/>
          <w:color w:val="2A4169"/>
          <w:sz w:val="20"/>
          <w:szCs w:val="20"/>
        </w:rPr>
        <w:t>)</w:t>
      </w:r>
      <w:r>
        <w:rPr>
          <w:rStyle w:val="A7"/>
        </w:rPr>
        <w:t>(</w:t>
      </w:r>
      <w:proofErr w:type="gramEnd"/>
      <w:r>
        <w:rPr>
          <w:rStyle w:val="A7"/>
        </w:rPr>
        <w:t>11)</w:t>
      </w:r>
      <w:r>
        <w:rPr>
          <w:rFonts w:cs="Source Sans Pro"/>
          <w:color w:val="2A4169"/>
          <w:sz w:val="20"/>
          <w:szCs w:val="20"/>
        </w:rPr>
        <w:t xml:space="preserve">. The ICF shifts thinking about disability away from medical diagnoses to functioning. However, it is not at all clear how the NDIA is using the selected tools to capture the ICF domains (e.g., body functions and structures; activity; and participation – referred to as functioning), as well as contextual factors including personal and environmental factors. As the tools were not designed with the ICF in mind it is difficult to see how they can be used to capture the ICF components. </w:t>
      </w:r>
      <w:proofErr w:type="gramStart"/>
      <w:r>
        <w:rPr>
          <w:rFonts w:cs="Source Sans Pro"/>
          <w:color w:val="2A4169"/>
          <w:sz w:val="20"/>
          <w:szCs w:val="20"/>
        </w:rPr>
        <w:t>In particular, it</w:t>
      </w:r>
      <w:proofErr w:type="gramEnd"/>
      <w:r>
        <w:rPr>
          <w:rFonts w:cs="Source Sans Pro"/>
          <w:color w:val="2A4169"/>
          <w:sz w:val="20"/>
          <w:szCs w:val="20"/>
        </w:rPr>
        <w:t xml:space="preserve"> is not clear how the environment will be assessed. </w:t>
      </w:r>
    </w:p>
    <w:p w14:paraId="41FB79F1" w14:textId="77777777" w:rsidR="00A218D5" w:rsidRDefault="00A218D5" w:rsidP="00A218D5">
      <w:pPr>
        <w:pStyle w:val="Pa6"/>
        <w:spacing w:after="40"/>
        <w:rPr>
          <w:rFonts w:cs="Source Sans Pro"/>
          <w:color w:val="000000"/>
          <w:sz w:val="20"/>
          <w:szCs w:val="20"/>
        </w:rPr>
      </w:pPr>
      <w:r>
        <w:rPr>
          <w:rStyle w:val="A6"/>
        </w:rPr>
        <w:t xml:space="preserve">d) Scheme sustainability </w:t>
      </w:r>
    </w:p>
    <w:p w14:paraId="6781DA54"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Given that IAs are driven, at least in part, over concerns about scheme costs, IAs may seek to exclude individuals from the Scheme or </w:t>
      </w:r>
      <w:proofErr w:type="gramStart"/>
      <w:r>
        <w:rPr>
          <w:rFonts w:cs="Source Sans Pro"/>
          <w:color w:val="2A4169"/>
          <w:sz w:val="20"/>
          <w:szCs w:val="20"/>
        </w:rPr>
        <w:t>particular supports</w:t>
      </w:r>
      <w:proofErr w:type="gramEnd"/>
      <w:r>
        <w:rPr>
          <w:rFonts w:cs="Source Sans Pro"/>
          <w:color w:val="2A4169"/>
          <w:sz w:val="20"/>
          <w:szCs w:val="20"/>
        </w:rPr>
        <w:t xml:space="preserve"> or award smaller funding plans. However, while this </w:t>
      </w:r>
      <w:r>
        <w:rPr>
          <w:rFonts w:cs="Source Sans Pro"/>
          <w:i/>
          <w:iCs/>
          <w:color w:val="2A4169"/>
          <w:sz w:val="20"/>
          <w:szCs w:val="20"/>
        </w:rPr>
        <w:t xml:space="preserve">might </w:t>
      </w:r>
      <w:r>
        <w:rPr>
          <w:rFonts w:cs="Source Sans Pro"/>
          <w:color w:val="2A4169"/>
          <w:sz w:val="20"/>
          <w:szCs w:val="20"/>
        </w:rPr>
        <w:t xml:space="preserve">reduce scheme costs, it will likely result in increased costs in other areas of government spending, e.g., health, education, welfare. These unintended consequences and costs have not been assessed. </w:t>
      </w:r>
    </w:p>
    <w:p w14:paraId="7BA1C92A" w14:textId="77777777" w:rsidR="00A218D5" w:rsidRDefault="00A218D5" w:rsidP="00A218D5">
      <w:pPr>
        <w:pStyle w:val="Pa2"/>
        <w:spacing w:after="160"/>
        <w:rPr>
          <w:rFonts w:cs="Source Sans Pro"/>
          <w:color w:val="2A4169"/>
          <w:sz w:val="23"/>
          <w:szCs w:val="23"/>
        </w:rPr>
      </w:pPr>
      <w:proofErr w:type="spellStart"/>
      <w:r>
        <w:rPr>
          <w:rStyle w:val="A5"/>
          <w:sz w:val="23"/>
          <w:szCs w:val="23"/>
        </w:rPr>
        <w:t>ToR</w:t>
      </w:r>
      <w:proofErr w:type="spellEnd"/>
      <w:r>
        <w:rPr>
          <w:rStyle w:val="A5"/>
          <w:sz w:val="23"/>
          <w:szCs w:val="23"/>
        </w:rPr>
        <w:t xml:space="preserve"> 2: The impact of similar policies in other jurisdictions and in the provision of other government services </w:t>
      </w:r>
    </w:p>
    <w:p w14:paraId="08AF4BBE"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It is of note that there is no other disability system in the world that adopts such an approach. This is, in part, a result of the fact that there are no tools (or suite of tools) that are accurate across all groups that have been designed for this purpose. The only analogous processes that we have been able to identify in our research are the processes that have been taken around the world designed to move individuals off benefits such as the Disability Support Pension. We only need look at experiences in the UK or the US to see that functional analyses linked to benefits has caused extreme psychological distress for individuals and led to a large amount of preventable </w:t>
      </w:r>
      <w:proofErr w:type="gramStart"/>
      <w:r>
        <w:rPr>
          <w:rFonts w:cs="Source Sans Pro"/>
          <w:color w:val="2A4169"/>
          <w:sz w:val="20"/>
          <w:szCs w:val="20"/>
        </w:rPr>
        <w:t>harm</w:t>
      </w:r>
      <w:r>
        <w:rPr>
          <w:rStyle w:val="A7"/>
        </w:rPr>
        <w:t>(</w:t>
      </w:r>
      <w:proofErr w:type="gramEnd"/>
      <w:r>
        <w:rPr>
          <w:rStyle w:val="A7"/>
        </w:rPr>
        <w:t>12, 13)</w:t>
      </w:r>
      <w:r>
        <w:rPr>
          <w:rFonts w:cs="Source Sans Pro"/>
          <w:color w:val="2A4169"/>
          <w:sz w:val="20"/>
          <w:szCs w:val="20"/>
        </w:rPr>
        <w:t xml:space="preserve">. </w:t>
      </w:r>
    </w:p>
    <w:p w14:paraId="47F978B0" w14:textId="77777777" w:rsidR="00A218D5" w:rsidRDefault="00A218D5" w:rsidP="00A218D5">
      <w:pPr>
        <w:pStyle w:val="Pa2"/>
        <w:spacing w:after="160"/>
        <w:rPr>
          <w:rFonts w:cs="Source Sans Pro"/>
          <w:color w:val="2A4169"/>
          <w:sz w:val="23"/>
          <w:szCs w:val="23"/>
        </w:rPr>
      </w:pPr>
      <w:proofErr w:type="spellStart"/>
      <w:r>
        <w:rPr>
          <w:rStyle w:val="A5"/>
          <w:sz w:val="23"/>
          <w:szCs w:val="23"/>
        </w:rPr>
        <w:t>ToR</w:t>
      </w:r>
      <w:proofErr w:type="spellEnd"/>
      <w:r>
        <w:rPr>
          <w:rStyle w:val="A5"/>
          <w:sz w:val="23"/>
          <w:szCs w:val="23"/>
        </w:rPr>
        <w:t xml:space="preserve"> 3: The human and financial resources needed to effectively implement independent assessments </w:t>
      </w:r>
    </w:p>
    <w:p w14:paraId="4897C869"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The case has been made that the use of IAs will cut down on the costs for participants and their families in gaining access to the scheme. It is true that </w:t>
      </w:r>
      <w:proofErr w:type="gramStart"/>
      <w:r>
        <w:rPr>
          <w:rFonts w:cs="Source Sans Pro"/>
          <w:color w:val="2A4169"/>
          <w:sz w:val="20"/>
          <w:szCs w:val="20"/>
        </w:rPr>
        <w:t>at the moment</w:t>
      </w:r>
      <w:proofErr w:type="gramEnd"/>
      <w:r>
        <w:rPr>
          <w:rFonts w:cs="Source Sans Pro"/>
          <w:color w:val="2A4169"/>
          <w:sz w:val="20"/>
          <w:szCs w:val="20"/>
        </w:rPr>
        <w:t xml:space="preserve"> there can be significant costs incurred in gaining evidence from clinical professionals to prove eligibility for the scheme. </w:t>
      </w:r>
      <w:proofErr w:type="gramStart"/>
      <w:r>
        <w:rPr>
          <w:rFonts w:cs="Source Sans Pro"/>
          <w:color w:val="2A4169"/>
          <w:sz w:val="20"/>
          <w:szCs w:val="20"/>
        </w:rPr>
        <w:t>But,</w:t>
      </w:r>
      <w:proofErr w:type="gramEnd"/>
      <w:r>
        <w:rPr>
          <w:rFonts w:cs="Source Sans Pro"/>
          <w:color w:val="2A4169"/>
          <w:sz w:val="20"/>
          <w:szCs w:val="20"/>
        </w:rPr>
        <w:t xml:space="preserve"> the introduction of IAs does not remove this need. Prospective applicants will still need to prove their eligibility for the scheme </w:t>
      </w:r>
      <w:r>
        <w:rPr>
          <w:rFonts w:cs="Source Sans Pro"/>
          <w:i/>
          <w:iCs/>
          <w:color w:val="2A4169"/>
          <w:sz w:val="20"/>
          <w:szCs w:val="20"/>
        </w:rPr>
        <w:t xml:space="preserve">before </w:t>
      </w:r>
      <w:r>
        <w:rPr>
          <w:rFonts w:cs="Source Sans Pro"/>
          <w:color w:val="2A4169"/>
          <w:sz w:val="20"/>
          <w:szCs w:val="20"/>
        </w:rPr>
        <w:t xml:space="preserve">they will be referred for an IA. While the system will remove the need for gaining functional assessments, potential participants will still need to gain medical/clinical evidence within the new system to </w:t>
      </w:r>
      <w:r>
        <w:rPr>
          <w:rFonts w:cs="Source Sans Pro"/>
          <w:color w:val="2A4169"/>
          <w:sz w:val="20"/>
          <w:szCs w:val="20"/>
        </w:rPr>
        <w:lastRenderedPageBreak/>
        <w:t xml:space="preserve">demonstrate they meet eligibility criteria, and this may be potentially </w:t>
      </w:r>
      <w:r>
        <w:rPr>
          <w:rFonts w:cs="Source Sans Pro"/>
          <w:i/>
          <w:iCs/>
          <w:color w:val="2A4169"/>
          <w:sz w:val="20"/>
          <w:szCs w:val="20"/>
        </w:rPr>
        <w:t xml:space="preserve">more </w:t>
      </w:r>
      <w:r>
        <w:rPr>
          <w:rFonts w:cs="Source Sans Pro"/>
          <w:color w:val="2A4169"/>
          <w:sz w:val="20"/>
          <w:szCs w:val="20"/>
        </w:rPr>
        <w:t xml:space="preserve">onerous for those who currently have impairments included on access lists that will disappear with the introduction of the new system. If the concern is about the costs borne by some in accessing the Scheme, then there are a range of alternatives that might be introduced such as a new Medicare item for assessment purposes. </w:t>
      </w:r>
    </w:p>
    <w:p w14:paraId="0184910C" w14:textId="087B3C68" w:rsidR="00A218D5" w:rsidRDefault="00A218D5" w:rsidP="00A218D5">
      <w:pPr>
        <w:pStyle w:val="Pa2"/>
        <w:spacing w:after="160"/>
        <w:rPr>
          <w:rFonts w:cs="Source Sans Pro"/>
          <w:color w:val="2A4169"/>
          <w:sz w:val="20"/>
          <w:szCs w:val="20"/>
        </w:rPr>
      </w:pPr>
      <w:r>
        <w:rPr>
          <w:rFonts w:cs="Source Sans Pro"/>
          <w:color w:val="2A4169"/>
          <w:sz w:val="20"/>
          <w:szCs w:val="20"/>
        </w:rPr>
        <w:t xml:space="preserve">There will be considerable human and financial resources needed to effectively implement these tools. At present much of the functional assessment work is gained by individuals either through paying professionals to undertake this work or receiving this through services paid for by other parts of government (e.g., health). This will significantly increase costs to the scheme, as we have seen in the maximum amounts of money slated for the </w:t>
      </w:r>
      <w:proofErr w:type="spellStart"/>
      <w:r>
        <w:rPr>
          <w:rFonts w:cs="Source Sans Pro"/>
          <w:color w:val="2A4169"/>
          <w:sz w:val="20"/>
          <w:szCs w:val="20"/>
        </w:rPr>
        <w:t>organisations</w:t>
      </w:r>
      <w:proofErr w:type="spellEnd"/>
      <w:r>
        <w:rPr>
          <w:rFonts w:cs="Source Sans Pro"/>
          <w:color w:val="2A4169"/>
          <w:sz w:val="20"/>
          <w:szCs w:val="20"/>
        </w:rPr>
        <w:t xml:space="preserve"> contracted to deliver IAs. It is also important to note that the professionals undertaking these</w:t>
      </w:r>
      <w:r>
        <w:rPr>
          <w:rFonts w:cs="Source Sans Pro"/>
          <w:color w:val="2A4169"/>
          <w:sz w:val="20"/>
          <w:szCs w:val="20"/>
        </w:rPr>
        <w:t xml:space="preserve"> </w:t>
      </w:r>
      <w:r>
        <w:rPr>
          <w:rFonts w:cs="Source Sans Pro"/>
          <w:color w:val="2A4169"/>
          <w:sz w:val="20"/>
          <w:szCs w:val="20"/>
        </w:rPr>
        <w:t xml:space="preserve">assessments are allied health workers and there is already a well-documented shortage of these workers within the system. </w:t>
      </w:r>
    </w:p>
    <w:p w14:paraId="55BD1B4D" w14:textId="77777777" w:rsidR="00A218D5" w:rsidRDefault="00A218D5" w:rsidP="00A218D5">
      <w:pPr>
        <w:pStyle w:val="Pa2"/>
        <w:spacing w:after="160"/>
        <w:rPr>
          <w:rFonts w:cs="Source Sans Pro"/>
          <w:color w:val="2A4169"/>
          <w:sz w:val="23"/>
          <w:szCs w:val="23"/>
        </w:rPr>
      </w:pPr>
      <w:proofErr w:type="spellStart"/>
      <w:r>
        <w:rPr>
          <w:rStyle w:val="A5"/>
          <w:sz w:val="23"/>
          <w:szCs w:val="23"/>
        </w:rPr>
        <w:t>ToR</w:t>
      </w:r>
      <w:proofErr w:type="spellEnd"/>
      <w:r>
        <w:rPr>
          <w:rStyle w:val="A5"/>
          <w:sz w:val="23"/>
          <w:szCs w:val="23"/>
        </w:rPr>
        <w:t xml:space="preserve"> 4: The independence, qualifications, training, </w:t>
      </w:r>
      <w:proofErr w:type="gramStart"/>
      <w:r>
        <w:rPr>
          <w:rStyle w:val="A5"/>
          <w:sz w:val="23"/>
          <w:szCs w:val="23"/>
        </w:rPr>
        <w:t>expertise</w:t>
      </w:r>
      <w:proofErr w:type="gramEnd"/>
      <w:r>
        <w:rPr>
          <w:rStyle w:val="A5"/>
          <w:sz w:val="23"/>
          <w:szCs w:val="23"/>
        </w:rPr>
        <w:t xml:space="preserve"> and quality assurance of assessors </w:t>
      </w:r>
    </w:p>
    <w:p w14:paraId="52CD3DAD"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The NDIA propose to use allied health professionals to do these assessments however it is not necessary for the allied health professional to be </w:t>
      </w:r>
      <w:proofErr w:type="spellStart"/>
      <w:r>
        <w:rPr>
          <w:rFonts w:cs="Source Sans Pro"/>
          <w:color w:val="2A4169"/>
          <w:sz w:val="20"/>
          <w:szCs w:val="20"/>
        </w:rPr>
        <w:t>specialised</w:t>
      </w:r>
      <w:proofErr w:type="spellEnd"/>
      <w:r>
        <w:rPr>
          <w:rFonts w:cs="Source Sans Pro"/>
          <w:color w:val="2A4169"/>
          <w:sz w:val="20"/>
          <w:szCs w:val="20"/>
        </w:rPr>
        <w:t xml:space="preserve"> in the area which the assessment is </w:t>
      </w:r>
      <w:proofErr w:type="spellStart"/>
      <w:r>
        <w:rPr>
          <w:rFonts w:cs="Source Sans Pro"/>
          <w:color w:val="2A4169"/>
          <w:sz w:val="20"/>
          <w:szCs w:val="20"/>
        </w:rPr>
        <w:t>focussed</w:t>
      </w:r>
      <w:proofErr w:type="spellEnd"/>
      <w:r>
        <w:rPr>
          <w:rFonts w:cs="Source Sans Pro"/>
          <w:color w:val="2A4169"/>
          <w:sz w:val="20"/>
          <w:szCs w:val="20"/>
        </w:rPr>
        <w:t xml:space="preserve">. For example, a physiotherapist may administer the Vineland or a psychologist the Lower Extremity Function Scale. Many of the instruments are designed to be undertaken by clinicians </w:t>
      </w:r>
      <w:proofErr w:type="spellStart"/>
      <w:r>
        <w:rPr>
          <w:rFonts w:cs="Source Sans Pro"/>
          <w:color w:val="2A4169"/>
          <w:sz w:val="20"/>
          <w:szCs w:val="20"/>
        </w:rPr>
        <w:t>specialised</w:t>
      </w:r>
      <w:proofErr w:type="spellEnd"/>
      <w:r>
        <w:rPr>
          <w:rFonts w:cs="Source Sans Pro"/>
          <w:color w:val="2A4169"/>
          <w:sz w:val="20"/>
          <w:szCs w:val="20"/>
        </w:rPr>
        <w:t xml:space="preserve"> in the field. We are aware that participants and families who have already undertaken these assessments have indicated how underqualified many assessors were to assess functioning in areas outside their expertise (e.g., physiotherapist assessing speech). There are no quality assurance processes in place where performance of individual assessors is assessed. Given the lack of an appeals process, there is no recourse if an assessor makes inaccurate assessments. Furthermore, participants report the dismissal of information on functioning provided by the person with disability or families and </w:t>
      </w:r>
      <w:proofErr w:type="spellStart"/>
      <w:r>
        <w:rPr>
          <w:rFonts w:cs="Source Sans Pro"/>
          <w:color w:val="2A4169"/>
          <w:sz w:val="20"/>
          <w:szCs w:val="20"/>
        </w:rPr>
        <w:t>carers</w:t>
      </w:r>
      <w:proofErr w:type="spellEnd"/>
      <w:r>
        <w:rPr>
          <w:rFonts w:cs="Source Sans Pro"/>
          <w:color w:val="2A4169"/>
          <w:sz w:val="20"/>
          <w:szCs w:val="20"/>
        </w:rPr>
        <w:t xml:space="preserve"> and that data is collected from observation with little understanding of how the functioning is influenced by the environment (e.g., home, community). </w:t>
      </w:r>
    </w:p>
    <w:p w14:paraId="26C3FFF3" w14:textId="77777777" w:rsidR="00A218D5" w:rsidRDefault="00A218D5" w:rsidP="00A218D5">
      <w:pPr>
        <w:pStyle w:val="Pa2"/>
        <w:spacing w:after="160"/>
        <w:rPr>
          <w:rFonts w:cs="Source Sans Pro"/>
          <w:color w:val="2A4169"/>
          <w:sz w:val="23"/>
          <w:szCs w:val="23"/>
        </w:rPr>
      </w:pPr>
      <w:proofErr w:type="spellStart"/>
      <w:r>
        <w:rPr>
          <w:rStyle w:val="A5"/>
          <w:sz w:val="23"/>
          <w:szCs w:val="23"/>
        </w:rPr>
        <w:t>ToR</w:t>
      </w:r>
      <w:proofErr w:type="spellEnd"/>
      <w:r>
        <w:rPr>
          <w:rStyle w:val="A5"/>
          <w:sz w:val="23"/>
          <w:szCs w:val="23"/>
        </w:rPr>
        <w:t xml:space="preserve"> 5: The appropriateness of the assessment tools selected for use in independent assessments to determine plan funding </w:t>
      </w:r>
    </w:p>
    <w:p w14:paraId="483EC88C"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We have serious concerns about the tools that have been selected, the process for selecting them, and the evaluation conducted by the NDIA. </w:t>
      </w:r>
    </w:p>
    <w:p w14:paraId="2BA07056" w14:textId="77777777" w:rsidR="00A218D5" w:rsidRDefault="00A218D5" w:rsidP="00A218D5">
      <w:pPr>
        <w:pStyle w:val="Pa2"/>
        <w:spacing w:after="160"/>
        <w:rPr>
          <w:rFonts w:cs="Source Sans Pro"/>
          <w:color w:val="2A4169"/>
          <w:sz w:val="23"/>
          <w:szCs w:val="23"/>
        </w:rPr>
      </w:pPr>
      <w:r>
        <w:rPr>
          <w:rStyle w:val="A5"/>
          <w:b w:val="0"/>
          <w:bCs w:val="0"/>
          <w:i/>
          <w:iCs/>
          <w:sz w:val="23"/>
          <w:szCs w:val="23"/>
        </w:rPr>
        <w:t xml:space="preserve">a) Selection of tools </w:t>
      </w:r>
    </w:p>
    <w:p w14:paraId="4502660A"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The NDIA’s report on the development of IFAs and selection of tools acknowledged there was no single tool that could be used as the basis for funding </w:t>
      </w:r>
      <w:proofErr w:type="gramStart"/>
      <w:r>
        <w:rPr>
          <w:rFonts w:cs="Source Sans Pro"/>
          <w:color w:val="2A4169"/>
          <w:sz w:val="20"/>
          <w:szCs w:val="20"/>
        </w:rPr>
        <w:t>decisions</w:t>
      </w:r>
      <w:r>
        <w:rPr>
          <w:rStyle w:val="A7"/>
        </w:rPr>
        <w:t>(</w:t>
      </w:r>
      <w:proofErr w:type="gramEnd"/>
      <w:r>
        <w:rPr>
          <w:rStyle w:val="A7"/>
        </w:rPr>
        <w:t>14)</w:t>
      </w:r>
      <w:r>
        <w:rPr>
          <w:rFonts w:cs="Source Sans Pro"/>
          <w:color w:val="2A4169"/>
          <w:sz w:val="20"/>
          <w:szCs w:val="20"/>
        </w:rPr>
        <w:t xml:space="preserve">. Therefore, they decide to look at tools available ‘off the shelf’ i.e., </w:t>
      </w:r>
      <w:r>
        <w:rPr>
          <w:rFonts w:cs="Source Sans Pro"/>
          <w:i/>
          <w:iCs/>
          <w:color w:val="2A4169"/>
          <w:sz w:val="20"/>
          <w:szCs w:val="20"/>
        </w:rPr>
        <w:t xml:space="preserve">designed for another purpose </w:t>
      </w:r>
      <w:r>
        <w:rPr>
          <w:rFonts w:cs="Source Sans Pro"/>
          <w:color w:val="2A4169"/>
          <w:sz w:val="20"/>
          <w:szCs w:val="20"/>
        </w:rPr>
        <w:t xml:space="preserve">(e.g., LEFS – clinical tool for monitoring of progress in rehabilitation) and look at whether they cover the areas they need and whether they have good psychometric properties (i.e., reliability, validity). While the tools may have good psychometric properties for the purpose for which they were designed this does not mean they are suitable for the purpose the NDIA is using them for. </w:t>
      </w:r>
    </w:p>
    <w:p w14:paraId="08115C76"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The NDIA argue that the chosen tools are reliable. </w:t>
      </w:r>
      <w:r>
        <w:rPr>
          <w:rFonts w:cs="Source Sans Pro"/>
          <w:b/>
          <w:bCs/>
          <w:color w:val="2A4169"/>
          <w:sz w:val="20"/>
          <w:szCs w:val="20"/>
        </w:rPr>
        <w:t xml:space="preserve">Reliability </w:t>
      </w:r>
      <w:r>
        <w:rPr>
          <w:rFonts w:cs="Source Sans Pro"/>
          <w:color w:val="2A4169"/>
          <w:sz w:val="20"/>
          <w:szCs w:val="20"/>
        </w:rPr>
        <w:t xml:space="preserve">refers to “the degree to which the results obtained by a measurement procedure can be replicated” </w:t>
      </w:r>
      <w:r>
        <w:rPr>
          <w:rStyle w:val="A7"/>
        </w:rPr>
        <w:t>(10)</w:t>
      </w:r>
      <w:r>
        <w:rPr>
          <w:rFonts w:cs="Source Sans Pro"/>
          <w:color w:val="2A4169"/>
          <w:sz w:val="20"/>
          <w:szCs w:val="20"/>
        </w:rPr>
        <w:t xml:space="preserve">. Lack of reliability may arise from differences between observers or instruments of measurement or instability of the attribute being measured. The NDIA argue the instruments they have chosen are reliable, however we do not know whether they are reliable as a ‘suite of instruments’ or with the independent assessors they employ to undertake them (see </w:t>
      </w:r>
      <w:proofErr w:type="spellStart"/>
      <w:r>
        <w:rPr>
          <w:rFonts w:cs="Source Sans Pro"/>
          <w:color w:val="2A4169"/>
          <w:sz w:val="20"/>
          <w:szCs w:val="20"/>
        </w:rPr>
        <w:t>ToR</w:t>
      </w:r>
      <w:proofErr w:type="spellEnd"/>
      <w:r>
        <w:rPr>
          <w:rFonts w:cs="Source Sans Pro"/>
          <w:color w:val="2A4169"/>
          <w:sz w:val="20"/>
          <w:szCs w:val="20"/>
        </w:rPr>
        <w:t xml:space="preserve"> 4 response). </w:t>
      </w:r>
    </w:p>
    <w:p w14:paraId="1D14D1A4"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Critically even if it were possible to achieve high reliability and consistency, the suite of tools proposed are not valid for the purpose for which they are proposed to be used. </w:t>
      </w:r>
      <w:r>
        <w:rPr>
          <w:rFonts w:cs="Source Sans Pro"/>
          <w:b/>
          <w:bCs/>
          <w:color w:val="2A4169"/>
          <w:sz w:val="20"/>
          <w:szCs w:val="20"/>
        </w:rPr>
        <w:t xml:space="preserve">Validity </w:t>
      </w:r>
      <w:r>
        <w:rPr>
          <w:rFonts w:cs="Source Sans Pro"/>
          <w:color w:val="2A4169"/>
          <w:sz w:val="20"/>
          <w:szCs w:val="20"/>
        </w:rPr>
        <w:t xml:space="preserve">refers to the instruments being able to measure what they purport to quantify — in this case budgets that enable participants to meet their goals. These instruments have never been used to for the allocation of </w:t>
      </w:r>
      <w:proofErr w:type="spellStart"/>
      <w:r>
        <w:rPr>
          <w:rFonts w:cs="Source Sans Pro"/>
          <w:color w:val="2A4169"/>
          <w:sz w:val="20"/>
          <w:szCs w:val="20"/>
        </w:rPr>
        <w:t>individualised</w:t>
      </w:r>
      <w:proofErr w:type="spellEnd"/>
      <w:r>
        <w:rPr>
          <w:rFonts w:cs="Source Sans Pro"/>
          <w:color w:val="2A4169"/>
          <w:sz w:val="20"/>
          <w:szCs w:val="20"/>
        </w:rPr>
        <w:t xml:space="preserve"> budgets before and their validity is completely unknown and was not assessed in any of the research conducted thus far. </w:t>
      </w:r>
      <w:r>
        <w:rPr>
          <w:rFonts w:cs="Source Sans Pro"/>
          <w:b/>
          <w:bCs/>
          <w:color w:val="2A4169"/>
          <w:sz w:val="20"/>
          <w:szCs w:val="20"/>
        </w:rPr>
        <w:t xml:space="preserve">From our perspective, the NDIA has not considered this fundamental issue of validity conflating this psychometric property with reliability. An invalid instrument (or suite of instruments) can be reliable and consistent across different groups – it may just be consistently wrong. </w:t>
      </w:r>
    </w:p>
    <w:p w14:paraId="42BB51F3" w14:textId="687525CD" w:rsidR="00A218D5" w:rsidRDefault="00A218D5" w:rsidP="00A218D5">
      <w:pPr>
        <w:pStyle w:val="Pa2"/>
        <w:spacing w:after="160"/>
        <w:rPr>
          <w:rFonts w:cs="Source Sans Pro"/>
          <w:color w:val="2A4169"/>
          <w:sz w:val="20"/>
          <w:szCs w:val="20"/>
        </w:rPr>
      </w:pPr>
      <w:r>
        <w:rPr>
          <w:rFonts w:cs="Source Sans Pro"/>
          <w:color w:val="2A4169"/>
          <w:sz w:val="20"/>
          <w:szCs w:val="20"/>
        </w:rPr>
        <w:t xml:space="preserve">In the NDIA paper </w:t>
      </w:r>
      <w:r>
        <w:rPr>
          <w:rFonts w:cs="Source Sans Pro"/>
          <w:i/>
          <w:iCs/>
          <w:color w:val="2A4169"/>
          <w:sz w:val="20"/>
          <w:szCs w:val="20"/>
        </w:rPr>
        <w:t xml:space="preserve">IA Selection of Assessment Tools </w:t>
      </w:r>
      <w:r>
        <w:rPr>
          <w:rStyle w:val="A7"/>
        </w:rPr>
        <w:t>(14)</w:t>
      </w:r>
      <w:r>
        <w:rPr>
          <w:rFonts w:cs="Source Sans Pro"/>
          <w:color w:val="2A4169"/>
          <w:sz w:val="20"/>
          <w:szCs w:val="20"/>
        </w:rPr>
        <w:t xml:space="preserve">, page 19 states that “details from the assessment suite are considered collectively and with reference to the person’s particular circumstances.” It is therefore unclear how the assessment tools will be combined and, for example, if this is systematic, how are the tools weighted and combined? If this is done, then if someone scores highly in one domain but lowly in another it may not be evident that they need support (e.g., much higher on receptive vs expressive communication). </w:t>
      </w:r>
    </w:p>
    <w:p w14:paraId="71380D20" w14:textId="0E5C74CC" w:rsidR="00A218D5" w:rsidRDefault="00A218D5" w:rsidP="00A218D5">
      <w:pPr>
        <w:pStyle w:val="Default"/>
      </w:pPr>
    </w:p>
    <w:p w14:paraId="0BF96671" w14:textId="77777777" w:rsidR="00A218D5" w:rsidRPr="00A218D5" w:rsidRDefault="00A218D5" w:rsidP="00A218D5">
      <w:pPr>
        <w:pStyle w:val="Default"/>
      </w:pPr>
    </w:p>
    <w:p w14:paraId="2743BB29" w14:textId="77777777" w:rsidR="00A218D5" w:rsidRDefault="00A218D5" w:rsidP="00A218D5">
      <w:pPr>
        <w:pStyle w:val="Pa2"/>
        <w:spacing w:after="160"/>
        <w:rPr>
          <w:rFonts w:cs="Source Sans Pro"/>
          <w:color w:val="000000"/>
          <w:sz w:val="20"/>
          <w:szCs w:val="20"/>
        </w:rPr>
      </w:pPr>
      <w:r>
        <w:rPr>
          <w:rStyle w:val="A5"/>
          <w:b w:val="0"/>
          <w:bCs w:val="0"/>
          <w:i/>
          <w:iCs/>
          <w:sz w:val="23"/>
          <w:szCs w:val="23"/>
        </w:rPr>
        <w:t xml:space="preserve">b) Independent Pilot Evaluation </w:t>
      </w:r>
    </w:p>
    <w:p w14:paraId="6C6FCC3D" w14:textId="77777777" w:rsidR="00A218D5" w:rsidRDefault="00A218D5" w:rsidP="00A218D5">
      <w:pPr>
        <w:pStyle w:val="Pa2"/>
        <w:spacing w:after="160"/>
        <w:rPr>
          <w:rFonts w:cs="Source Sans Pro"/>
          <w:color w:val="2A4169"/>
          <w:sz w:val="20"/>
          <w:szCs w:val="20"/>
        </w:rPr>
      </w:pPr>
      <w:r>
        <w:rPr>
          <w:rFonts w:cs="Source Sans Pro"/>
          <w:color w:val="2A4169"/>
          <w:sz w:val="20"/>
          <w:szCs w:val="20"/>
        </w:rPr>
        <w:lastRenderedPageBreak/>
        <w:t xml:space="preserve">Details of the pilot evaluation are sparse. However, based on available information it appears the evaluation was of relatively low quality and did not assess the impact and outcomes of the IAs in terms of the purpose of IAs. Firstly, there was no control group. If the NDIA wanted to make evidence-based decisions, then the most effective way to underpin an IA policy would have been to undertake a </w:t>
      </w:r>
      <w:proofErr w:type="spellStart"/>
      <w:r>
        <w:rPr>
          <w:rFonts w:cs="Source Sans Pro"/>
          <w:color w:val="2A4169"/>
          <w:sz w:val="20"/>
          <w:szCs w:val="20"/>
        </w:rPr>
        <w:t>Randomised</w:t>
      </w:r>
      <w:proofErr w:type="spellEnd"/>
      <w:r>
        <w:rPr>
          <w:rFonts w:cs="Source Sans Pro"/>
          <w:color w:val="2A4169"/>
          <w:sz w:val="20"/>
          <w:szCs w:val="20"/>
        </w:rPr>
        <w:t xml:space="preserve"> Controlled Trial where individuals opted into the process. Secondly, the numbers involved in piloting the IAs were not adequate given the diversity of participants across a range of domains (e.g., age range, impairment type, ethnic background). Only 145 surveys were done with </w:t>
      </w:r>
      <w:proofErr w:type="gramStart"/>
      <w:r>
        <w:rPr>
          <w:rFonts w:cs="Source Sans Pro"/>
          <w:color w:val="2A4169"/>
          <w:sz w:val="20"/>
          <w:szCs w:val="20"/>
        </w:rPr>
        <w:t>participants</w:t>
      </w:r>
      <w:proofErr w:type="gramEnd"/>
      <w:r>
        <w:rPr>
          <w:rFonts w:cs="Source Sans Pro"/>
          <w:color w:val="2A4169"/>
          <w:sz w:val="20"/>
          <w:szCs w:val="20"/>
        </w:rPr>
        <w:t xml:space="preserve"> and they simply assessed satisfaction with the process rather than against the aims that IAs were purported to deliver (e.g., equity, appropriate budget). Thirdly, the most important outcomes were not assessed. We do not know if the IAs led budgets that funded reasonable and necessary supports that aligned with participants goals and whether they led to better outcomes for participants in line with participants outcomes framework. We cannot know whether the IA led to better outcomes without an appropriate control group. </w:t>
      </w:r>
    </w:p>
    <w:p w14:paraId="414A6522" w14:textId="7C672D2B" w:rsidR="00A218D5" w:rsidRDefault="00A218D5" w:rsidP="00A218D5">
      <w:pPr>
        <w:pStyle w:val="Pa2"/>
        <w:spacing w:after="160"/>
        <w:rPr>
          <w:rFonts w:cs="Source Sans Pro"/>
          <w:color w:val="2A4169"/>
          <w:sz w:val="20"/>
          <w:szCs w:val="20"/>
        </w:rPr>
      </w:pPr>
      <w:r>
        <w:rPr>
          <w:rFonts w:cs="Source Sans Pro"/>
          <w:color w:val="2A4169"/>
          <w:sz w:val="20"/>
          <w:szCs w:val="20"/>
        </w:rPr>
        <w:t xml:space="preserve">The NDIA claim that the validity of the process was tested through a small number of focus groups and interviews, which is not a robust approach for this purpose. Further, there was no attempt to determine whether IAs led to equitable decisions and there is no mention at all of disadvantage in the evaluation. At best the evaluation might be able to make some determination around the feasibility of IAs, but there is no data to make any evidenced statements about outcomes. From the information presented so far on the second pilot it is not clear than any additional information is being collected on outcomes. It seems that it is still </w:t>
      </w:r>
      <w:proofErr w:type="spellStart"/>
      <w:r>
        <w:rPr>
          <w:rFonts w:cs="Source Sans Pro"/>
          <w:color w:val="2A4169"/>
          <w:sz w:val="20"/>
          <w:szCs w:val="20"/>
        </w:rPr>
        <w:t>focussed</w:t>
      </w:r>
      <w:proofErr w:type="spellEnd"/>
      <w:r>
        <w:rPr>
          <w:rFonts w:cs="Source Sans Pro"/>
          <w:color w:val="2A4169"/>
          <w:sz w:val="20"/>
          <w:szCs w:val="20"/>
        </w:rPr>
        <w:t xml:space="preserve"> on process (e.g., agree assessor understood their challenges, satisfied with length of appointment). </w:t>
      </w:r>
    </w:p>
    <w:p w14:paraId="5E169913"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We also note that the evaluation was conducted by the NDIA, which is not an independent process. Instead, an independent evaluation should have been undertaken with the evaluation methods and outcomes defined </w:t>
      </w:r>
      <w:r>
        <w:rPr>
          <w:rFonts w:cs="Source Sans Pro"/>
          <w:b/>
          <w:bCs/>
          <w:color w:val="2A4169"/>
          <w:sz w:val="20"/>
          <w:szCs w:val="20"/>
        </w:rPr>
        <w:t xml:space="preserve">before </w:t>
      </w:r>
      <w:r>
        <w:rPr>
          <w:rFonts w:cs="Source Sans Pro"/>
          <w:color w:val="2A4169"/>
          <w:sz w:val="20"/>
          <w:szCs w:val="20"/>
        </w:rPr>
        <w:t xml:space="preserve">the evaluation was undertaken. It is best practice for the evaluation protocol to be developed and approved before the intervention is implemented and evaluated. This prevents ‘cherry picking’ the reporting of results. </w:t>
      </w:r>
    </w:p>
    <w:p w14:paraId="23FB51EF" w14:textId="77777777" w:rsidR="00A218D5" w:rsidRDefault="00A218D5" w:rsidP="00A218D5">
      <w:pPr>
        <w:pStyle w:val="Pa2"/>
        <w:spacing w:after="160"/>
        <w:rPr>
          <w:rFonts w:cs="Source Sans Pro"/>
          <w:color w:val="2A4169"/>
          <w:sz w:val="20"/>
          <w:szCs w:val="20"/>
        </w:rPr>
      </w:pPr>
      <w:r>
        <w:rPr>
          <w:rFonts w:cs="Source Sans Pro"/>
          <w:b/>
          <w:bCs/>
          <w:color w:val="2A4169"/>
          <w:sz w:val="20"/>
          <w:szCs w:val="20"/>
        </w:rPr>
        <w:t xml:space="preserve">We believe it is unethical to implement such widespread change without rigorous independent evaluation of the effectiveness against outcomes agreed upon by people with disability. </w:t>
      </w:r>
    </w:p>
    <w:p w14:paraId="7B83041B" w14:textId="77777777" w:rsidR="00A218D5" w:rsidRDefault="00A218D5" w:rsidP="00A218D5">
      <w:pPr>
        <w:pStyle w:val="Pa2"/>
        <w:spacing w:after="160"/>
        <w:rPr>
          <w:rFonts w:cs="Source Sans Pro"/>
          <w:color w:val="2A4169"/>
          <w:sz w:val="23"/>
          <w:szCs w:val="23"/>
        </w:rPr>
      </w:pPr>
      <w:proofErr w:type="spellStart"/>
      <w:r>
        <w:rPr>
          <w:rStyle w:val="A5"/>
          <w:sz w:val="23"/>
          <w:szCs w:val="23"/>
        </w:rPr>
        <w:t>ToR</w:t>
      </w:r>
      <w:proofErr w:type="spellEnd"/>
      <w:r>
        <w:rPr>
          <w:rStyle w:val="A5"/>
          <w:sz w:val="23"/>
          <w:szCs w:val="23"/>
        </w:rPr>
        <w:t xml:space="preserve"> 6: The implications of independent assessments for access to and eligibility for the NDIS </w:t>
      </w:r>
    </w:p>
    <w:p w14:paraId="6C41682E"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As outlined above, we fear that the introduction of IAs will make this a more challenging process for many on the scheme. At present those who have impairments on access lists have a relatively smooth entry to the scheme. For example, an individual who is deafblind needs confirmation by an ophthalmologist and audiologist that they have permanent and severe impairment of visual function and hearing. Under the new system, this individual will be required to undergo an IA and likely with a professional with little experience of </w:t>
      </w:r>
      <w:proofErr w:type="spellStart"/>
      <w:r>
        <w:rPr>
          <w:rFonts w:cs="Source Sans Pro"/>
          <w:color w:val="2A4169"/>
          <w:sz w:val="20"/>
          <w:szCs w:val="20"/>
        </w:rPr>
        <w:t>deafblindness</w:t>
      </w:r>
      <w:proofErr w:type="spellEnd"/>
      <w:r>
        <w:rPr>
          <w:rFonts w:cs="Source Sans Pro"/>
          <w:color w:val="2A4169"/>
          <w:sz w:val="20"/>
          <w:szCs w:val="20"/>
        </w:rPr>
        <w:t xml:space="preserve">. Moreover, if inaccurate assessments are made of functional ability, as we believe there is great potential for as outlined above, then fewer people will receive funding through the scheme and/or receive smaller plans. Further, </w:t>
      </w:r>
      <w:r>
        <w:rPr>
          <w:rFonts w:cs="Source Sans Pro"/>
          <w:b/>
          <w:bCs/>
          <w:color w:val="2A4169"/>
          <w:sz w:val="20"/>
          <w:szCs w:val="20"/>
        </w:rPr>
        <w:t xml:space="preserve">the changes do not reduce the need for individually funded reports completely </w:t>
      </w:r>
      <w:r>
        <w:rPr>
          <w:rFonts w:cs="Source Sans Pro"/>
          <w:color w:val="2A4169"/>
          <w:sz w:val="20"/>
          <w:szCs w:val="20"/>
        </w:rPr>
        <w:t xml:space="preserve">as individuals will still have to prove they are eligible for the scheme </w:t>
      </w:r>
      <w:proofErr w:type="gramStart"/>
      <w:r>
        <w:rPr>
          <w:rFonts w:cs="Source Sans Pro"/>
          <w:color w:val="2A4169"/>
          <w:sz w:val="20"/>
          <w:szCs w:val="20"/>
        </w:rPr>
        <w:t>in order to</w:t>
      </w:r>
      <w:proofErr w:type="gramEnd"/>
      <w:r>
        <w:rPr>
          <w:rFonts w:cs="Source Sans Pro"/>
          <w:color w:val="2A4169"/>
          <w:sz w:val="20"/>
          <w:szCs w:val="20"/>
        </w:rPr>
        <w:t xml:space="preserve"> be assessed. </w:t>
      </w:r>
    </w:p>
    <w:p w14:paraId="2446ADF7" w14:textId="77777777" w:rsidR="00A218D5" w:rsidRDefault="00A218D5" w:rsidP="00A218D5">
      <w:pPr>
        <w:pStyle w:val="Pa2"/>
        <w:spacing w:after="160"/>
        <w:rPr>
          <w:rFonts w:cs="Source Sans Pro"/>
          <w:color w:val="2A4169"/>
          <w:sz w:val="23"/>
          <w:szCs w:val="23"/>
        </w:rPr>
      </w:pPr>
      <w:proofErr w:type="spellStart"/>
      <w:r>
        <w:rPr>
          <w:rStyle w:val="A5"/>
          <w:sz w:val="23"/>
          <w:szCs w:val="23"/>
        </w:rPr>
        <w:t>ToR</w:t>
      </w:r>
      <w:proofErr w:type="spellEnd"/>
      <w:r>
        <w:rPr>
          <w:rStyle w:val="A5"/>
          <w:sz w:val="23"/>
          <w:szCs w:val="23"/>
        </w:rPr>
        <w:t xml:space="preserve"> 7: The implications of independent assessments for NDIS planning, including decisions related to funding reasonable and necessary supports </w:t>
      </w:r>
    </w:p>
    <w:p w14:paraId="468C9CF2"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As the proposed system divorces functional assessments from planning processes where goals are established, this means that decisions about what is reasonable and necessary are not linked to funding. If we do not have any sense of what an individual’s goals are then it is not possible to determine what supports an individual’s needs. Two individuals with the same level of function may have very different determinations of what is reasonable and necessary for what they aim to achieve. </w:t>
      </w:r>
    </w:p>
    <w:p w14:paraId="1B6DBCF1" w14:textId="77777777" w:rsidR="00A218D5" w:rsidRDefault="00A218D5" w:rsidP="00A218D5">
      <w:pPr>
        <w:pStyle w:val="Pa2"/>
        <w:spacing w:after="160"/>
        <w:rPr>
          <w:rFonts w:cs="Source Sans Pro"/>
          <w:color w:val="2A4169"/>
          <w:sz w:val="23"/>
          <w:szCs w:val="23"/>
        </w:rPr>
      </w:pPr>
      <w:proofErr w:type="spellStart"/>
      <w:r>
        <w:rPr>
          <w:rStyle w:val="A5"/>
          <w:sz w:val="23"/>
          <w:szCs w:val="23"/>
        </w:rPr>
        <w:t>ToR</w:t>
      </w:r>
      <w:proofErr w:type="spellEnd"/>
      <w:r>
        <w:rPr>
          <w:rStyle w:val="A5"/>
          <w:sz w:val="23"/>
          <w:szCs w:val="23"/>
        </w:rPr>
        <w:t xml:space="preserve"> 8: The circumstances in which a person may not be required to complete an independent assessment </w:t>
      </w:r>
    </w:p>
    <w:p w14:paraId="5BF638E6"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Our view is that as IAs are currently constituted they are not fit for purpose for any individuals. However, there is good reason to assume that many aspects of the IA process will be highly traumatic for some individuals. For example, individuals with a history of sexual abuse or trauma may find some of the questions very confronting. As we know from the Royal Commission into the Abuse and Neglect of People with Disability, this is a significant proportion of people with disability. In addition, many people with disability have had negative experiences of the health systems and so having assessments undertaken by someone not known to them may be traumatising. It is also likely that some people with disability may be too anxious to be </w:t>
      </w:r>
      <w:r>
        <w:rPr>
          <w:rFonts w:cs="Source Sans Pro"/>
          <w:color w:val="2A4169"/>
          <w:sz w:val="20"/>
          <w:szCs w:val="20"/>
        </w:rPr>
        <w:lastRenderedPageBreak/>
        <w:t xml:space="preserve">assessed (e.g., someone with autism with difficulties with sensory processing and anxiety). We need significantly more evidence to demonstrate that IAs do no harm before we see these rolled out more broadly. </w:t>
      </w:r>
    </w:p>
    <w:p w14:paraId="0FF1B71C" w14:textId="77777777" w:rsidR="00A218D5" w:rsidRDefault="00A218D5" w:rsidP="00A218D5">
      <w:pPr>
        <w:pStyle w:val="Pa2"/>
        <w:spacing w:after="160"/>
        <w:rPr>
          <w:rFonts w:cs="Source Sans Pro"/>
          <w:color w:val="2A4169"/>
          <w:sz w:val="23"/>
          <w:szCs w:val="23"/>
        </w:rPr>
      </w:pPr>
      <w:proofErr w:type="spellStart"/>
      <w:r>
        <w:rPr>
          <w:rStyle w:val="A5"/>
          <w:sz w:val="23"/>
          <w:szCs w:val="23"/>
        </w:rPr>
        <w:t>ToR</w:t>
      </w:r>
      <w:proofErr w:type="spellEnd"/>
      <w:r>
        <w:rPr>
          <w:rStyle w:val="A5"/>
          <w:sz w:val="23"/>
          <w:szCs w:val="23"/>
        </w:rPr>
        <w:t xml:space="preserve"> 9: Opportunities to review or challenge the outcomes of independent assessments </w:t>
      </w:r>
    </w:p>
    <w:p w14:paraId="470A61B2"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As we outlined above, one of the ways that the proposed system differs from the Tune review is in respect to the discretion afforded around the results of functional analyses and the development of a plan that is in line with the NDIS Act. What this in effect notes is that a functional analysis may not always be a good indicator of the level of supports that an individual requires to </w:t>
      </w:r>
      <w:proofErr w:type="spellStart"/>
      <w:r>
        <w:rPr>
          <w:rFonts w:cs="Source Sans Pro"/>
          <w:color w:val="2A4169"/>
          <w:sz w:val="20"/>
          <w:szCs w:val="20"/>
        </w:rPr>
        <w:t>realise</w:t>
      </w:r>
      <w:proofErr w:type="spellEnd"/>
      <w:r>
        <w:rPr>
          <w:rFonts w:cs="Source Sans Pro"/>
          <w:color w:val="2A4169"/>
          <w:sz w:val="20"/>
          <w:szCs w:val="20"/>
        </w:rPr>
        <w:t xml:space="preserve"> their human rights. The NDIS Act is quite clear about the need to support individuals to the “full extent of their capacity” and as the Tune Review notes, this may mean that there is a need for discretion with respect to the outcome of a functional assessment. The proposed system does not allow for challenge of IAs and given that this will be used to determine funding then this is highly problematic and will likely leave individuals with smaller packages that do not allow them appropriate support to achieve their goals to the full extent of their capacity. </w:t>
      </w:r>
    </w:p>
    <w:p w14:paraId="7452D02A" w14:textId="77777777" w:rsidR="00A218D5" w:rsidRDefault="00A218D5" w:rsidP="00A218D5">
      <w:pPr>
        <w:pStyle w:val="Pa2"/>
        <w:spacing w:after="160"/>
        <w:rPr>
          <w:rFonts w:cs="Source Sans Pro"/>
          <w:color w:val="2A4169"/>
          <w:sz w:val="23"/>
          <w:szCs w:val="23"/>
        </w:rPr>
      </w:pPr>
      <w:proofErr w:type="spellStart"/>
      <w:r>
        <w:rPr>
          <w:rStyle w:val="A5"/>
          <w:sz w:val="23"/>
          <w:szCs w:val="23"/>
        </w:rPr>
        <w:t>ToR</w:t>
      </w:r>
      <w:proofErr w:type="spellEnd"/>
      <w:r>
        <w:rPr>
          <w:rStyle w:val="A5"/>
          <w:sz w:val="23"/>
          <w:szCs w:val="23"/>
        </w:rPr>
        <w:t xml:space="preserve"> 10: The appropriateness of independent assessments for </w:t>
      </w:r>
      <w:proofErr w:type="gramStart"/>
      <w:r>
        <w:rPr>
          <w:rStyle w:val="A5"/>
          <w:sz w:val="23"/>
          <w:szCs w:val="23"/>
        </w:rPr>
        <w:t>particular cohorts</w:t>
      </w:r>
      <w:proofErr w:type="gramEnd"/>
      <w:r>
        <w:rPr>
          <w:rStyle w:val="A5"/>
          <w:sz w:val="23"/>
          <w:szCs w:val="23"/>
        </w:rPr>
        <w:t xml:space="preserve"> of people with disability, including Aboriginal and Torres Strait Islander peoples, people from regional, rural and remote areas, and people from culturally and linguistically diverse backgrounds </w:t>
      </w:r>
    </w:p>
    <w:p w14:paraId="470FEA90" w14:textId="37CE669B" w:rsidR="00A218D5" w:rsidRDefault="00A218D5" w:rsidP="00A218D5">
      <w:pPr>
        <w:pStyle w:val="Pa2"/>
        <w:spacing w:after="160"/>
        <w:rPr>
          <w:color w:val="2A4169"/>
          <w:sz w:val="20"/>
          <w:szCs w:val="20"/>
        </w:rPr>
      </w:pPr>
      <w:r>
        <w:rPr>
          <w:rFonts w:cs="Source Sans Pro"/>
          <w:color w:val="2A4169"/>
          <w:sz w:val="20"/>
          <w:szCs w:val="20"/>
        </w:rPr>
        <w:t xml:space="preserve">We do not believe the suite of tools are suitable for any population groups. However, it is likely they are less suitable for </w:t>
      </w:r>
      <w:proofErr w:type="gramStart"/>
      <w:r>
        <w:rPr>
          <w:rFonts w:cs="Source Sans Pro"/>
          <w:color w:val="2A4169"/>
          <w:sz w:val="20"/>
          <w:szCs w:val="20"/>
        </w:rPr>
        <w:t>particular groups</w:t>
      </w:r>
      <w:proofErr w:type="gramEnd"/>
      <w:r>
        <w:rPr>
          <w:rFonts w:cs="Source Sans Pro"/>
          <w:color w:val="2A4169"/>
          <w:sz w:val="20"/>
          <w:szCs w:val="20"/>
        </w:rPr>
        <w:t xml:space="preserve"> such as First Nations </w:t>
      </w:r>
      <w:r>
        <w:rPr>
          <w:color w:val="2A4169"/>
          <w:sz w:val="20"/>
          <w:szCs w:val="20"/>
        </w:rPr>
        <w:t xml:space="preserve">Australians and different ethnic groups. It is critical that </w:t>
      </w:r>
      <w:r>
        <w:rPr>
          <w:color w:val="2A4169"/>
          <w:sz w:val="20"/>
          <w:szCs w:val="20"/>
        </w:rPr>
        <w:t xml:space="preserve">the tools are known to be valid across all the participant groups. There is scant information of the validity of the tools across the groups. For example, even if tools are translated into languages other than English it is not clear that the nuanced meaning of questions will be retained. </w:t>
      </w:r>
    </w:p>
    <w:p w14:paraId="48A6753F" w14:textId="77777777" w:rsidR="00A218D5" w:rsidRDefault="00A218D5" w:rsidP="00A218D5">
      <w:pPr>
        <w:pStyle w:val="Pa2"/>
        <w:spacing w:after="160"/>
        <w:rPr>
          <w:rFonts w:cs="Source Sans Pro"/>
          <w:color w:val="2A4169"/>
          <w:sz w:val="23"/>
          <w:szCs w:val="23"/>
        </w:rPr>
      </w:pPr>
      <w:proofErr w:type="spellStart"/>
      <w:r>
        <w:rPr>
          <w:rStyle w:val="A5"/>
          <w:sz w:val="23"/>
          <w:szCs w:val="23"/>
        </w:rPr>
        <w:t>ToR</w:t>
      </w:r>
      <w:proofErr w:type="spellEnd"/>
      <w:r>
        <w:rPr>
          <w:rStyle w:val="A5"/>
          <w:sz w:val="23"/>
          <w:szCs w:val="23"/>
        </w:rPr>
        <w:t xml:space="preserve"> 11: The appropriateness of independent assessments for people with </w:t>
      </w:r>
      <w:proofErr w:type="gramStart"/>
      <w:r>
        <w:rPr>
          <w:rStyle w:val="A5"/>
          <w:sz w:val="23"/>
          <w:szCs w:val="23"/>
        </w:rPr>
        <w:t>particular disability</w:t>
      </w:r>
      <w:proofErr w:type="gramEnd"/>
      <w:r>
        <w:rPr>
          <w:rStyle w:val="A5"/>
          <w:sz w:val="23"/>
          <w:szCs w:val="23"/>
        </w:rPr>
        <w:t xml:space="preserve"> </w:t>
      </w:r>
    </w:p>
    <w:p w14:paraId="34ECD10C" w14:textId="77777777" w:rsidR="00A218D5" w:rsidRDefault="00A218D5" w:rsidP="00A218D5">
      <w:pPr>
        <w:pStyle w:val="Pa2"/>
        <w:spacing w:after="160"/>
        <w:rPr>
          <w:rFonts w:cs="Source Sans Pro"/>
          <w:color w:val="2A4169"/>
          <w:sz w:val="20"/>
          <w:szCs w:val="20"/>
        </w:rPr>
      </w:pPr>
      <w:r>
        <w:rPr>
          <w:rFonts w:cs="Source Sans Pro"/>
          <w:color w:val="2A4169"/>
          <w:sz w:val="20"/>
          <w:szCs w:val="20"/>
        </w:rPr>
        <w:t xml:space="preserve">IAs may be less suitable for </w:t>
      </w:r>
      <w:proofErr w:type="gramStart"/>
      <w:r>
        <w:rPr>
          <w:rFonts w:cs="Source Sans Pro"/>
          <w:color w:val="2A4169"/>
          <w:sz w:val="20"/>
          <w:szCs w:val="20"/>
        </w:rPr>
        <w:t>particular groups</w:t>
      </w:r>
      <w:proofErr w:type="gramEnd"/>
      <w:r>
        <w:rPr>
          <w:rFonts w:cs="Source Sans Pro"/>
          <w:color w:val="2A4169"/>
          <w:sz w:val="20"/>
          <w:szCs w:val="20"/>
        </w:rPr>
        <w:t xml:space="preserve"> especially for people with fluctuating disability (e.g., multiple sclerosis, some psychological conditions) because needs will vary at different times. Participants may end up being short of funds at a time they need them most. Conducting functional assessments can be challenging even when a person knows the professional. Professor Kavanagh reports this in relation to her own son, where despite numerous attempts, his OT was unable to complete a functional assessment because he was not willing to cooperate with the process and requests to do so made him extremely anxious. </w:t>
      </w:r>
    </w:p>
    <w:p w14:paraId="7C1C870F" w14:textId="77777777" w:rsidR="00A218D5" w:rsidRDefault="00A218D5" w:rsidP="00A218D5">
      <w:pPr>
        <w:pStyle w:val="Pa2"/>
        <w:spacing w:after="160"/>
        <w:rPr>
          <w:rFonts w:cs="Source Sans Pro"/>
          <w:color w:val="2A4169"/>
          <w:sz w:val="23"/>
          <w:szCs w:val="23"/>
        </w:rPr>
      </w:pPr>
      <w:r>
        <w:rPr>
          <w:rStyle w:val="A5"/>
          <w:sz w:val="23"/>
          <w:szCs w:val="23"/>
        </w:rPr>
        <w:t xml:space="preserve">In sum, we believe Independent Assessments should not be implemented because they have not been developed for the purposes for which they are being used, will not be aligned with the </w:t>
      </w:r>
      <w:proofErr w:type="gramStart"/>
      <w:r>
        <w:rPr>
          <w:rStyle w:val="A5"/>
          <w:sz w:val="23"/>
          <w:szCs w:val="23"/>
        </w:rPr>
        <w:t>goals</w:t>
      </w:r>
      <w:proofErr w:type="gramEnd"/>
      <w:r>
        <w:rPr>
          <w:rStyle w:val="A5"/>
          <w:sz w:val="23"/>
          <w:szCs w:val="23"/>
        </w:rPr>
        <w:t xml:space="preserve"> and needs of individual participants, will not achieve equity, will cause significant distress among participants, and may result in shifting costs to other systems (e.g., health, welfare). </w:t>
      </w:r>
    </w:p>
    <w:p w14:paraId="6D763226" w14:textId="04432CA4" w:rsidR="00A218D5" w:rsidRDefault="00A218D5" w:rsidP="00A218D5">
      <w:pPr>
        <w:pStyle w:val="Pa2"/>
        <w:spacing w:after="160"/>
        <w:rPr>
          <w:rFonts w:cs="Source Sans Pro"/>
          <w:color w:val="2A4169"/>
          <w:sz w:val="20"/>
          <w:szCs w:val="20"/>
        </w:rPr>
      </w:pPr>
      <w:r>
        <w:rPr>
          <w:rFonts w:ascii="Source Sans Pro Semibold" w:hAnsi="Source Sans Pro Semibold" w:cs="Source Sans Pro Semibold"/>
          <w:b/>
          <w:bCs/>
          <w:color w:val="2A4169"/>
          <w:sz w:val="20"/>
          <w:szCs w:val="20"/>
        </w:rPr>
        <w:t xml:space="preserve">Professor Helen Dickinson, UNSW Canberra Professor Anne Kavanagh, University of Melbourne Professor Gemma Carey, UNSW Centre of Research Excellence in Disability and Health </w:t>
      </w:r>
      <w:r>
        <w:rPr>
          <w:rFonts w:cs="Source Sans Pro"/>
          <w:color w:val="2A4169"/>
          <w:sz w:val="20"/>
          <w:szCs w:val="20"/>
        </w:rPr>
        <w:t xml:space="preserve">(CRE-DH) </w:t>
      </w:r>
    </w:p>
    <w:p w14:paraId="1FE6C855" w14:textId="77777777" w:rsidR="00A218D5" w:rsidRDefault="00A218D5" w:rsidP="00A218D5">
      <w:pPr>
        <w:autoSpaceDE w:val="0"/>
        <w:autoSpaceDN w:val="0"/>
        <w:adjustRightInd w:val="0"/>
        <w:spacing w:after="160" w:line="201" w:lineRule="atLeast"/>
        <w:rPr>
          <w:rFonts w:ascii="Source Sans Pro" w:hAnsi="Source Sans Pro"/>
          <w:b/>
          <w:bCs/>
          <w:color w:val="3F4D72"/>
          <w:sz w:val="28"/>
          <w:szCs w:val="28"/>
          <w:lang w:val="en-US"/>
        </w:rPr>
        <w:sectPr w:rsidR="00A218D5" w:rsidSect="00A218D5">
          <w:type w:val="continuous"/>
          <w:pgSz w:w="11905" w:h="16837"/>
          <w:pgMar w:top="1400" w:right="900" w:bottom="804" w:left="900" w:header="720" w:footer="720" w:gutter="0"/>
          <w:cols w:num="2" w:space="709"/>
          <w:noEndnote/>
        </w:sectPr>
      </w:pPr>
    </w:p>
    <w:p w14:paraId="3931BEFA" w14:textId="77777777" w:rsidR="00A218D5" w:rsidRDefault="00A218D5" w:rsidP="00A218D5">
      <w:pPr>
        <w:autoSpaceDE w:val="0"/>
        <w:autoSpaceDN w:val="0"/>
        <w:adjustRightInd w:val="0"/>
        <w:spacing w:after="160" w:line="201" w:lineRule="atLeast"/>
        <w:rPr>
          <w:rFonts w:ascii="Source Sans Pro" w:hAnsi="Source Sans Pro"/>
          <w:b/>
          <w:bCs/>
          <w:color w:val="3F4D72"/>
          <w:sz w:val="28"/>
          <w:szCs w:val="28"/>
          <w:lang w:val="en-US"/>
        </w:rPr>
      </w:pPr>
    </w:p>
    <w:p w14:paraId="55D297E3" w14:textId="77777777" w:rsidR="00A218D5" w:rsidRDefault="00A218D5" w:rsidP="00A218D5">
      <w:pPr>
        <w:autoSpaceDE w:val="0"/>
        <w:autoSpaceDN w:val="0"/>
        <w:adjustRightInd w:val="0"/>
        <w:spacing w:after="160" w:line="201" w:lineRule="atLeast"/>
        <w:rPr>
          <w:rFonts w:ascii="Source Sans Pro" w:hAnsi="Source Sans Pro"/>
          <w:b/>
          <w:bCs/>
          <w:color w:val="3F4D72"/>
          <w:sz w:val="28"/>
          <w:szCs w:val="28"/>
          <w:lang w:val="en-US"/>
        </w:rPr>
      </w:pPr>
    </w:p>
    <w:p w14:paraId="0D16FA06" w14:textId="44784A99" w:rsidR="00A218D5" w:rsidRPr="00A218D5" w:rsidRDefault="00A218D5" w:rsidP="00A218D5">
      <w:pPr>
        <w:autoSpaceDE w:val="0"/>
        <w:autoSpaceDN w:val="0"/>
        <w:adjustRightInd w:val="0"/>
        <w:spacing w:after="160" w:line="201" w:lineRule="atLeast"/>
        <w:rPr>
          <w:rFonts w:ascii="Source Sans Pro" w:hAnsi="Source Sans Pro"/>
          <w:color w:val="3F4D72"/>
          <w:sz w:val="28"/>
          <w:szCs w:val="28"/>
          <w:lang w:val="en-US"/>
        </w:rPr>
      </w:pPr>
      <w:r w:rsidRPr="00A218D5">
        <w:rPr>
          <w:rFonts w:ascii="Source Sans Pro" w:hAnsi="Source Sans Pro"/>
          <w:b/>
          <w:bCs/>
          <w:color w:val="3F4D72"/>
          <w:sz w:val="28"/>
          <w:szCs w:val="28"/>
          <w:lang w:val="en-US"/>
        </w:rPr>
        <w:t xml:space="preserve">Contact details </w:t>
      </w:r>
    </w:p>
    <w:p w14:paraId="122CAD43" w14:textId="77777777" w:rsidR="00A218D5" w:rsidRDefault="00A218D5" w:rsidP="00A218D5">
      <w:pPr>
        <w:pStyle w:val="Default"/>
        <w:rPr>
          <w:color w:val="2A4169"/>
          <w:sz w:val="20"/>
          <w:szCs w:val="20"/>
        </w:rPr>
      </w:pPr>
      <w:r w:rsidRPr="00A218D5">
        <w:rPr>
          <w:color w:val="2A4169"/>
          <w:sz w:val="20"/>
          <w:szCs w:val="20"/>
        </w:rPr>
        <w:t xml:space="preserve">Centre of Research Excellence in Disability and Health </w:t>
      </w:r>
    </w:p>
    <w:p w14:paraId="2A26751C" w14:textId="77777777" w:rsidR="00A218D5" w:rsidRDefault="00A218D5" w:rsidP="00A218D5">
      <w:pPr>
        <w:pStyle w:val="Default"/>
        <w:rPr>
          <w:color w:val="2A4169"/>
          <w:sz w:val="20"/>
          <w:szCs w:val="20"/>
        </w:rPr>
      </w:pPr>
      <w:r w:rsidRPr="00A218D5">
        <w:rPr>
          <w:color w:val="2A4169"/>
          <w:sz w:val="20"/>
          <w:szCs w:val="20"/>
        </w:rPr>
        <w:t xml:space="preserve">The University of Melbourne VIC 3001 </w:t>
      </w:r>
    </w:p>
    <w:p w14:paraId="3FCD3B6F" w14:textId="438BDBED" w:rsidR="00A218D5" w:rsidRDefault="00A218D5" w:rsidP="00A218D5">
      <w:pPr>
        <w:pStyle w:val="Default"/>
        <w:rPr>
          <w:color w:val="2A4169"/>
          <w:sz w:val="20"/>
          <w:szCs w:val="20"/>
        </w:rPr>
      </w:pPr>
      <w:hyperlink r:id="rId10" w:history="1">
        <w:r w:rsidRPr="00EB6134">
          <w:rPr>
            <w:rStyle w:val="Hyperlink"/>
            <w:sz w:val="20"/>
            <w:szCs w:val="20"/>
          </w:rPr>
          <w:t>cre-dh@unimelb.edu.au</w:t>
        </w:r>
      </w:hyperlink>
    </w:p>
    <w:p w14:paraId="59E02FE8" w14:textId="77777777" w:rsidR="00A218D5" w:rsidRDefault="00A218D5" w:rsidP="00A218D5">
      <w:pPr>
        <w:pStyle w:val="Default"/>
        <w:rPr>
          <w:color w:val="0000FF"/>
          <w:sz w:val="20"/>
          <w:szCs w:val="20"/>
          <w:u w:val="single"/>
        </w:rPr>
      </w:pPr>
      <w:r w:rsidRPr="00A218D5">
        <w:rPr>
          <w:color w:val="2A4169"/>
          <w:sz w:val="20"/>
          <w:szCs w:val="20"/>
        </w:rPr>
        <w:t xml:space="preserve"> </w:t>
      </w:r>
      <w:r w:rsidRPr="00A218D5">
        <w:rPr>
          <w:color w:val="0000FF"/>
          <w:sz w:val="20"/>
          <w:szCs w:val="20"/>
          <w:u w:val="single"/>
        </w:rPr>
        <w:t xml:space="preserve">credh.org.au </w:t>
      </w:r>
    </w:p>
    <w:p w14:paraId="6A6EC4A1" w14:textId="4E471297" w:rsidR="00A218D5" w:rsidRDefault="00A218D5" w:rsidP="00A218D5">
      <w:pPr>
        <w:pStyle w:val="Default"/>
        <w:rPr>
          <w:rFonts w:cstheme="minorBidi"/>
          <w:sz w:val="14"/>
          <w:szCs w:val="14"/>
        </w:rPr>
      </w:pPr>
      <w:r w:rsidRPr="00A218D5">
        <w:rPr>
          <w:color w:val="2A4169"/>
          <w:sz w:val="20"/>
          <w:szCs w:val="20"/>
        </w:rPr>
        <w:t>@DisabilityHlth</w:t>
      </w:r>
      <w:r>
        <w:rPr>
          <w:rFonts w:cstheme="minorBidi"/>
          <w:b/>
          <w:bCs/>
          <w:color w:val="FFFFFF"/>
          <w:sz w:val="14"/>
          <w:szCs w:val="14"/>
        </w:rPr>
        <w:t xml:space="preserve">7 </w:t>
      </w:r>
    </w:p>
    <w:p w14:paraId="367A32D3" w14:textId="77777777" w:rsidR="00A218D5" w:rsidRDefault="00A218D5" w:rsidP="00A218D5">
      <w:pPr>
        <w:pStyle w:val="Default"/>
        <w:rPr>
          <w:rFonts w:cstheme="minorBidi"/>
          <w:color w:val="auto"/>
        </w:rPr>
      </w:pPr>
    </w:p>
    <w:p w14:paraId="08FC966E" w14:textId="77777777" w:rsidR="00A218D5" w:rsidRDefault="00A218D5" w:rsidP="00A218D5">
      <w:pPr>
        <w:pStyle w:val="Pa7"/>
        <w:pageBreakBefore/>
        <w:spacing w:before="160" w:after="100"/>
        <w:rPr>
          <w:color w:val="025553"/>
          <w:sz w:val="25"/>
          <w:szCs w:val="25"/>
        </w:rPr>
      </w:pPr>
      <w:r>
        <w:rPr>
          <w:b/>
          <w:bCs/>
          <w:color w:val="025553"/>
          <w:sz w:val="25"/>
          <w:szCs w:val="25"/>
        </w:rPr>
        <w:lastRenderedPageBreak/>
        <w:t xml:space="preserve">REFERENCES </w:t>
      </w:r>
    </w:p>
    <w:p w14:paraId="5D23C244" w14:textId="77777777" w:rsidR="00A218D5" w:rsidRDefault="00A218D5" w:rsidP="00A218D5">
      <w:pPr>
        <w:pStyle w:val="Default"/>
        <w:numPr>
          <w:ilvl w:val="0"/>
          <w:numId w:val="2"/>
        </w:numPr>
        <w:spacing w:after="197"/>
        <w:ind w:left="360" w:hanging="360"/>
        <w:rPr>
          <w:color w:val="2A4169"/>
          <w:sz w:val="20"/>
          <w:szCs w:val="20"/>
        </w:rPr>
      </w:pPr>
      <w:r>
        <w:rPr>
          <w:color w:val="2A4169"/>
          <w:sz w:val="20"/>
          <w:szCs w:val="20"/>
        </w:rPr>
        <w:t xml:space="preserve">Australian Government Productivity Commission. Disability Care and Support: Productivity Commission Inquiry Report. Melbourne: Productivity Commission; 2011. </w:t>
      </w:r>
    </w:p>
    <w:p w14:paraId="3FE08F68" w14:textId="77777777" w:rsidR="00A218D5" w:rsidRDefault="00A218D5" w:rsidP="00A218D5">
      <w:pPr>
        <w:pStyle w:val="Default"/>
        <w:numPr>
          <w:ilvl w:val="0"/>
          <w:numId w:val="2"/>
        </w:numPr>
        <w:spacing w:after="197"/>
        <w:ind w:left="360" w:hanging="360"/>
        <w:rPr>
          <w:color w:val="2A4169"/>
          <w:sz w:val="20"/>
          <w:szCs w:val="20"/>
        </w:rPr>
      </w:pPr>
      <w:r>
        <w:rPr>
          <w:color w:val="2A4169"/>
          <w:sz w:val="20"/>
          <w:szCs w:val="20"/>
        </w:rPr>
        <w:t xml:space="preserve">Department of Social Services and National Disability Insurance Agency. Joint submission to the Joint Standing Committee on the National Disability Insurance Scheme’s inquiry into independent assessments. Canberra: Department of Social Services; 2021. </w:t>
      </w:r>
    </w:p>
    <w:p w14:paraId="24EA676B" w14:textId="77777777" w:rsidR="00A218D5" w:rsidRDefault="00A218D5" w:rsidP="00A218D5">
      <w:pPr>
        <w:pStyle w:val="Default"/>
        <w:numPr>
          <w:ilvl w:val="0"/>
          <w:numId w:val="2"/>
        </w:numPr>
        <w:spacing w:after="197"/>
        <w:ind w:left="360" w:hanging="360"/>
        <w:rPr>
          <w:color w:val="2A4169"/>
          <w:sz w:val="20"/>
          <w:szCs w:val="20"/>
        </w:rPr>
      </w:pPr>
      <w:r>
        <w:rPr>
          <w:color w:val="2A4169"/>
          <w:sz w:val="20"/>
          <w:szCs w:val="20"/>
        </w:rPr>
        <w:t xml:space="preserve">Tune D. Review of the National Disability Insurance Act 2013: Removing red tape and implementing the NDIS participant service guarantee. Canberra; 2019. </w:t>
      </w:r>
    </w:p>
    <w:p w14:paraId="4F8E3728" w14:textId="77777777" w:rsidR="00A218D5" w:rsidRDefault="00A218D5" w:rsidP="00A218D5">
      <w:pPr>
        <w:pStyle w:val="Default"/>
        <w:numPr>
          <w:ilvl w:val="0"/>
          <w:numId w:val="2"/>
        </w:numPr>
        <w:spacing w:after="197"/>
        <w:ind w:left="360" w:hanging="360"/>
        <w:rPr>
          <w:color w:val="0000FF"/>
          <w:sz w:val="20"/>
          <w:szCs w:val="20"/>
        </w:rPr>
      </w:pPr>
      <w:r>
        <w:rPr>
          <w:color w:val="2A4169"/>
          <w:sz w:val="20"/>
          <w:szCs w:val="20"/>
        </w:rPr>
        <w:t xml:space="preserve">Robert S. New data shows how a simpler, faster, </w:t>
      </w:r>
      <w:proofErr w:type="gramStart"/>
      <w:r>
        <w:rPr>
          <w:color w:val="2A4169"/>
          <w:sz w:val="20"/>
          <w:szCs w:val="20"/>
        </w:rPr>
        <w:t>fairer</w:t>
      </w:r>
      <w:proofErr w:type="gramEnd"/>
      <w:r>
        <w:rPr>
          <w:color w:val="2A4169"/>
          <w:sz w:val="20"/>
          <w:szCs w:val="20"/>
        </w:rPr>
        <w:t xml:space="preserve"> and more flexible NDIS will benefit all of Tasmania 2021. Available from: </w:t>
      </w:r>
      <w:r>
        <w:rPr>
          <w:rStyle w:val="A4"/>
        </w:rPr>
        <w:t xml:space="preserve">https://ministers.dss.gov.au/media-releases/6816 </w:t>
      </w:r>
    </w:p>
    <w:p w14:paraId="1DE6D7B8" w14:textId="77777777" w:rsidR="00A218D5" w:rsidRDefault="00A218D5" w:rsidP="00A218D5">
      <w:pPr>
        <w:pStyle w:val="Default"/>
        <w:numPr>
          <w:ilvl w:val="0"/>
          <w:numId w:val="2"/>
        </w:numPr>
        <w:spacing w:after="197"/>
        <w:ind w:left="360" w:hanging="360"/>
        <w:rPr>
          <w:color w:val="2A4169"/>
          <w:sz w:val="20"/>
          <w:szCs w:val="20"/>
        </w:rPr>
      </w:pPr>
      <w:r>
        <w:rPr>
          <w:color w:val="2A4169"/>
          <w:sz w:val="20"/>
          <w:szCs w:val="20"/>
        </w:rPr>
        <w:t xml:space="preserve">Warr D, Dickinson H, Olney S, Hargrave J, </w:t>
      </w:r>
      <w:proofErr w:type="spellStart"/>
      <w:r>
        <w:rPr>
          <w:color w:val="2A4169"/>
          <w:sz w:val="20"/>
          <w:szCs w:val="20"/>
        </w:rPr>
        <w:t>Karanikolas</w:t>
      </w:r>
      <w:proofErr w:type="spellEnd"/>
      <w:r>
        <w:rPr>
          <w:color w:val="2A4169"/>
          <w:sz w:val="20"/>
          <w:szCs w:val="20"/>
        </w:rPr>
        <w:t xml:space="preserve"> A, </w:t>
      </w:r>
      <w:proofErr w:type="spellStart"/>
      <w:r>
        <w:rPr>
          <w:color w:val="2A4169"/>
          <w:sz w:val="20"/>
          <w:szCs w:val="20"/>
        </w:rPr>
        <w:t>Kasidis</w:t>
      </w:r>
      <w:proofErr w:type="spellEnd"/>
      <w:r>
        <w:rPr>
          <w:color w:val="2A4169"/>
          <w:sz w:val="20"/>
          <w:szCs w:val="20"/>
        </w:rPr>
        <w:t xml:space="preserve"> V, et al. Choice, Control and the NDIS. Melbourne: University of Melbourne; 2017. </w:t>
      </w:r>
    </w:p>
    <w:p w14:paraId="3BEE6DAF" w14:textId="77777777" w:rsidR="00A218D5" w:rsidRDefault="00A218D5" w:rsidP="00A218D5">
      <w:pPr>
        <w:pStyle w:val="Default"/>
        <w:numPr>
          <w:ilvl w:val="0"/>
          <w:numId w:val="2"/>
        </w:numPr>
        <w:spacing w:after="197"/>
        <w:ind w:left="360" w:hanging="360"/>
        <w:rPr>
          <w:color w:val="2A4169"/>
          <w:sz w:val="20"/>
          <w:szCs w:val="20"/>
        </w:rPr>
      </w:pPr>
      <w:r>
        <w:rPr>
          <w:color w:val="2A4169"/>
          <w:sz w:val="20"/>
          <w:szCs w:val="20"/>
        </w:rPr>
        <w:t xml:space="preserve">Carey G, Dickinson H, </w:t>
      </w:r>
      <w:proofErr w:type="spellStart"/>
      <w:r>
        <w:rPr>
          <w:color w:val="2A4169"/>
          <w:sz w:val="20"/>
          <w:szCs w:val="20"/>
        </w:rPr>
        <w:t>Malbon</w:t>
      </w:r>
      <w:proofErr w:type="spellEnd"/>
      <w:r>
        <w:rPr>
          <w:color w:val="2A4169"/>
          <w:sz w:val="20"/>
          <w:szCs w:val="20"/>
        </w:rPr>
        <w:t xml:space="preserve"> E, </w:t>
      </w:r>
      <w:proofErr w:type="spellStart"/>
      <w:r>
        <w:rPr>
          <w:color w:val="2A4169"/>
          <w:sz w:val="20"/>
          <w:szCs w:val="20"/>
        </w:rPr>
        <w:t>Reeders</w:t>
      </w:r>
      <w:proofErr w:type="spellEnd"/>
      <w:r>
        <w:rPr>
          <w:color w:val="2A4169"/>
          <w:sz w:val="20"/>
          <w:szCs w:val="20"/>
        </w:rPr>
        <w:t xml:space="preserve"> D. The vexed question of market stewardship in the public sector: Examining equity and the social contract through the Australian National </w:t>
      </w:r>
      <w:proofErr w:type="spellStart"/>
      <w:r>
        <w:rPr>
          <w:color w:val="2A4169"/>
          <w:sz w:val="20"/>
          <w:szCs w:val="20"/>
        </w:rPr>
        <w:t>Disabiity</w:t>
      </w:r>
      <w:proofErr w:type="spellEnd"/>
      <w:r>
        <w:rPr>
          <w:color w:val="2A4169"/>
          <w:sz w:val="20"/>
          <w:szCs w:val="20"/>
        </w:rPr>
        <w:t xml:space="preserve"> Insurance Scheme. </w:t>
      </w:r>
      <w:r>
        <w:rPr>
          <w:i/>
          <w:iCs/>
          <w:color w:val="2A4169"/>
          <w:sz w:val="20"/>
          <w:szCs w:val="20"/>
        </w:rPr>
        <w:t xml:space="preserve">Social Policy &amp; Administration </w:t>
      </w:r>
      <w:r>
        <w:rPr>
          <w:color w:val="2A4169"/>
          <w:sz w:val="20"/>
          <w:szCs w:val="20"/>
        </w:rPr>
        <w:t xml:space="preserve">2018;51(1):387-407. </w:t>
      </w:r>
    </w:p>
    <w:p w14:paraId="44F2A31F" w14:textId="77777777" w:rsidR="00A218D5" w:rsidRDefault="00A218D5" w:rsidP="00A218D5">
      <w:pPr>
        <w:pStyle w:val="Default"/>
        <w:numPr>
          <w:ilvl w:val="0"/>
          <w:numId w:val="2"/>
        </w:numPr>
        <w:spacing w:after="197"/>
        <w:ind w:left="360" w:hanging="360"/>
        <w:rPr>
          <w:color w:val="2A4169"/>
          <w:sz w:val="20"/>
          <w:szCs w:val="20"/>
        </w:rPr>
      </w:pPr>
      <w:r>
        <w:rPr>
          <w:color w:val="2A4169"/>
          <w:sz w:val="20"/>
          <w:szCs w:val="20"/>
        </w:rPr>
        <w:t xml:space="preserve">Cortese C, Truscott F, </w:t>
      </w:r>
      <w:proofErr w:type="spellStart"/>
      <w:r>
        <w:rPr>
          <w:color w:val="2A4169"/>
          <w:sz w:val="20"/>
          <w:szCs w:val="20"/>
        </w:rPr>
        <w:t>Nikidehaghani</w:t>
      </w:r>
      <w:proofErr w:type="spellEnd"/>
      <w:r>
        <w:rPr>
          <w:color w:val="2A4169"/>
          <w:sz w:val="20"/>
          <w:szCs w:val="20"/>
        </w:rPr>
        <w:t xml:space="preserve"> M, </w:t>
      </w:r>
      <w:proofErr w:type="spellStart"/>
      <w:r>
        <w:rPr>
          <w:color w:val="2A4169"/>
          <w:sz w:val="20"/>
          <w:szCs w:val="20"/>
        </w:rPr>
        <w:t>Chappie</w:t>
      </w:r>
      <w:proofErr w:type="spellEnd"/>
      <w:r>
        <w:rPr>
          <w:color w:val="2A4169"/>
          <w:sz w:val="20"/>
          <w:szCs w:val="20"/>
        </w:rPr>
        <w:t xml:space="preserve"> S. Hard-to-reach: the NDIS, disability and socio-economic disadvantage. </w:t>
      </w:r>
      <w:r>
        <w:rPr>
          <w:i/>
          <w:iCs/>
          <w:color w:val="2A4169"/>
          <w:sz w:val="20"/>
          <w:szCs w:val="20"/>
        </w:rPr>
        <w:t xml:space="preserve">Disability &amp; Society </w:t>
      </w:r>
      <w:r>
        <w:rPr>
          <w:color w:val="2A4169"/>
          <w:sz w:val="20"/>
          <w:szCs w:val="20"/>
        </w:rPr>
        <w:t xml:space="preserve">2020. </w:t>
      </w:r>
    </w:p>
    <w:p w14:paraId="2B68C038" w14:textId="77777777" w:rsidR="00A218D5" w:rsidRDefault="00A218D5" w:rsidP="00A218D5">
      <w:pPr>
        <w:pStyle w:val="Default"/>
        <w:numPr>
          <w:ilvl w:val="0"/>
          <w:numId w:val="2"/>
        </w:numPr>
        <w:spacing w:after="197"/>
        <w:ind w:left="360" w:hanging="360"/>
        <w:rPr>
          <w:color w:val="2A4169"/>
          <w:sz w:val="20"/>
          <w:szCs w:val="20"/>
        </w:rPr>
      </w:pPr>
      <w:r>
        <w:rPr>
          <w:color w:val="2A4169"/>
          <w:sz w:val="20"/>
          <w:szCs w:val="20"/>
        </w:rPr>
        <w:t xml:space="preserve">National Disability Insurance Agency. The NDIS Market Insights Dashboard. Geelong: National Disability Insurance Agency 2020. </w:t>
      </w:r>
    </w:p>
    <w:p w14:paraId="6CA2E3A8" w14:textId="77777777" w:rsidR="00A218D5" w:rsidRDefault="00A218D5" w:rsidP="00A218D5">
      <w:pPr>
        <w:pStyle w:val="Default"/>
        <w:numPr>
          <w:ilvl w:val="0"/>
          <w:numId w:val="2"/>
        </w:numPr>
        <w:spacing w:after="197"/>
        <w:ind w:left="360" w:hanging="360"/>
        <w:rPr>
          <w:color w:val="2A4169"/>
          <w:sz w:val="20"/>
          <w:szCs w:val="20"/>
        </w:rPr>
      </w:pPr>
      <w:r>
        <w:rPr>
          <w:color w:val="2A4169"/>
          <w:sz w:val="20"/>
          <w:szCs w:val="20"/>
        </w:rPr>
        <w:t xml:space="preserve">Carey G, </w:t>
      </w:r>
      <w:proofErr w:type="spellStart"/>
      <w:r>
        <w:rPr>
          <w:color w:val="2A4169"/>
          <w:sz w:val="20"/>
          <w:szCs w:val="20"/>
        </w:rPr>
        <w:t>Crammond</w:t>
      </w:r>
      <w:proofErr w:type="spellEnd"/>
      <w:r>
        <w:rPr>
          <w:color w:val="2A4169"/>
          <w:sz w:val="20"/>
          <w:szCs w:val="20"/>
        </w:rPr>
        <w:t xml:space="preserve"> B, </w:t>
      </w:r>
      <w:proofErr w:type="spellStart"/>
      <w:r>
        <w:rPr>
          <w:color w:val="2A4169"/>
          <w:sz w:val="20"/>
          <w:szCs w:val="20"/>
        </w:rPr>
        <w:t>Malbon</w:t>
      </w:r>
      <w:proofErr w:type="spellEnd"/>
      <w:r>
        <w:rPr>
          <w:color w:val="2A4169"/>
          <w:sz w:val="20"/>
          <w:szCs w:val="20"/>
        </w:rPr>
        <w:t xml:space="preserve"> E. </w:t>
      </w:r>
      <w:proofErr w:type="spellStart"/>
      <w:r>
        <w:rPr>
          <w:color w:val="2A4169"/>
          <w:sz w:val="20"/>
          <w:szCs w:val="20"/>
        </w:rPr>
        <w:t>Personalisation</w:t>
      </w:r>
      <w:proofErr w:type="spellEnd"/>
      <w:r>
        <w:rPr>
          <w:color w:val="2A4169"/>
          <w:sz w:val="20"/>
          <w:szCs w:val="20"/>
        </w:rPr>
        <w:t xml:space="preserve"> schemes in social care and inequality: review of the evidence and early </w:t>
      </w:r>
      <w:proofErr w:type="spellStart"/>
      <w:r>
        <w:rPr>
          <w:color w:val="2A4169"/>
          <w:sz w:val="20"/>
          <w:szCs w:val="20"/>
        </w:rPr>
        <w:t>theorising</w:t>
      </w:r>
      <w:proofErr w:type="spellEnd"/>
      <w:r>
        <w:rPr>
          <w:color w:val="2A4169"/>
          <w:sz w:val="20"/>
          <w:szCs w:val="20"/>
        </w:rPr>
        <w:t xml:space="preserve">. </w:t>
      </w:r>
      <w:r>
        <w:rPr>
          <w:i/>
          <w:iCs/>
          <w:color w:val="2A4169"/>
          <w:sz w:val="20"/>
          <w:szCs w:val="20"/>
        </w:rPr>
        <w:t xml:space="preserve">International Journal for Equity in Health </w:t>
      </w:r>
      <w:r>
        <w:rPr>
          <w:color w:val="2A4169"/>
          <w:sz w:val="20"/>
          <w:szCs w:val="20"/>
        </w:rPr>
        <w:t xml:space="preserve">2019;18(1):170. </w:t>
      </w:r>
    </w:p>
    <w:p w14:paraId="40049087" w14:textId="77777777" w:rsidR="00A218D5" w:rsidRDefault="00A218D5" w:rsidP="00A218D5">
      <w:pPr>
        <w:pStyle w:val="Default"/>
        <w:numPr>
          <w:ilvl w:val="0"/>
          <w:numId w:val="2"/>
        </w:numPr>
        <w:spacing w:after="197"/>
        <w:ind w:left="360" w:hanging="360"/>
        <w:rPr>
          <w:color w:val="2A4169"/>
          <w:sz w:val="20"/>
          <w:szCs w:val="20"/>
        </w:rPr>
      </w:pPr>
      <w:r>
        <w:rPr>
          <w:color w:val="2A4169"/>
          <w:sz w:val="20"/>
          <w:szCs w:val="20"/>
        </w:rPr>
        <w:t xml:space="preserve">Porta M. A Dictionary of Epidemiology. For the International Association of Epidemiology. 5th ed. Milton Keynes: Open University Press; 2008. </w:t>
      </w:r>
    </w:p>
    <w:p w14:paraId="0A29657C" w14:textId="77777777" w:rsidR="00A218D5" w:rsidRDefault="00A218D5" w:rsidP="00A218D5">
      <w:pPr>
        <w:pStyle w:val="Default"/>
        <w:numPr>
          <w:ilvl w:val="0"/>
          <w:numId w:val="2"/>
        </w:numPr>
        <w:spacing w:after="197"/>
        <w:ind w:left="360" w:hanging="360"/>
        <w:rPr>
          <w:color w:val="2A4169"/>
          <w:sz w:val="20"/>
          <w:szCs w:val="20"/>
        </w:rPr>
      </w:pPr>
      <w:r>
        <w:rPr>
          <w:color w:val="2A4169"/>
          <w:sz w:val="20"/>
          <w:szCs w:val="20"/>
        </w:rPr>
        <w:t xml:space="preserve">World Health Organization. Towards a Common Language for Functioning, Disability and Health ICF Geneva: World Health Organization; 2002. </w:t>
      </w:r>
    </w:p>
    <w:p w14:paraId="712702BC" w14:textId="77777777" w:rsidR="00A218D5" w:rsidRDefault="00A218D5" w:rsidP="00A218D5">
      <w:pPr>
        <w:pStyle w:val="Default"/>
        <w:numPr>
          <w:ilvl w:val="0"/>
          <w:numId w:val="2"/>
        </w:numPr>
        <w:spacing w:after="197"/>
        <w:ind w:left="360" w:hanging="360"/>
        <w:rPr>
          <w:color w:val="2A4169"/>
          <w:sz w:val="20"/>
          <w:szCs w:val="20"/>
        </w:rPr>
      </w:pPr>
      <w:r>
        <w:rPr>
          <w:color w:val="2A4169"/>
          <w:sz w:val="20"/>
          <w:szCs w:val="20"/>
        </w:rPr>
        <w:t xml:space="preserve">Stewart M. Psychological tyranny prescribed by the DWP: preventable harm is government policy. </w:t>
      </w:r>
      <w:r>
        <w:rPr>
          <w:i/>
          <w:iCs/>
          <w:color w:val="2A4169"/>
          <w:sz w:val="20"/>
          <w:szCs w:val="20"/>
        </w:rPr>
        <w:t xml:space="preserve">British Journal of General Practice </w:t>
      </w:r>
      <w:r>
        <w:rPr>
          <w:color w:val="2A4169"/>
          <w:sz w:val="20"/>
          <w:szCs w:val="20"/>
        </w:rPr>
        <w:t xml:space="preserve">2018;68(677):579. </w:t>
      </w:r>
    </w:p>
    <w:p w14:paraId="00A0EB73" w14:textId="77777777" w:rsidR="00A218D5" w:rsidRDefault="00A218D5" w:rsidP="00A218D5">
      <w:pPr>
        <w:pStyle w:val="Default"/>
        <w:numPr>
          <w:ilvl w:val="0"/>
          <w:numId w:val="2"/>
        </w:numPr>
        <w:spacing w:after="197"/>
        <w:ind w:left="360" w:hanging="360"/>
        <w:rPr>
          <w:color w:val="2A4169"/>
          <w:sz w:val="20"/>
          <w:szCs w:val="20"/>
        </w:rPr>
      </w:pPr>
      <w:r>
        <w:rPr>
          <w:color w:val="2A4169"/>
          <w:sz w:val="20"/>
          <w:szCs w:val="20"/>
        </w:rPr>
        <w:t xml:space="preserve">Shakespeare T, Watson N, </w:t>
      </w:r>
      <w:proofErr w:type="spellStart"/>
      <w:r>
        <w:rPr>
          <w:color w:val="2A4169"/>
          <w:sz w:val="20"/>
          <w:szCs w:val="20"/>
        </w:rPr>
        <w:t>Alghaib</w:t>
      </w:r>
      <w:proofErr w:type="spellEnd"/>
      <w:r>
        <w:rPr>
          <w:color w:val="2A4169"/>
          <w:sz w:val="20"/>
          <w:szCs w:val="20"/>
        </w:rPr>
        <w:t xml:space="preserve"> OA. Blaming the victim, all over again: </w:t>
      </w:r>
      <w:proofErr w:type="spellStart"/>
      <w:r>
        <w:rPr>
          <w:color w:val="2A4169"/>
          <w:sz w:val="20"/>
          <w:szCs w:val="20"/>
        </w:rPr>
        <w:t>Wadell</w:t>
      </w:r>
      <w:proofErr w:type="spellEnd"/>
      <w:r>
        <w:rPr>
          <w:color w:val="2A4169"/>
          <w:sz w:val="20"/>
          <w:szCs w:val="20"/>
        </w:rPr>
        <w:t xml:space="preserve"> and Aylward’s biopsychosocial (BPS) model of </w:t>
      </w:r>
      <w:proofErr w:type="spellStart"/>
      <w:r>
        <w:rPr>
          <w:color w:val="2A4169"/>
          <w:sz w:val="20"/>
          <w:szCs w:val="20"/>
        </w:rPr>
        <w:t>disabiity</w:t>
      </w:r>
      <w:proofErr w:type="spellEnd"/>
      <w:r>
        <w:rPr>
          <w:color w:val="2A4169"/>
          <w:sz w:val="20"/>
          <w:szCs w:val="20"/>
        </w:rPr>
        <w:t xml:space="preserve">. </w:t>
      </w:r>
      <w:r>
        <w:rPr>
          <w:i/>
          <w:iCs/>
          <w:color w:val="2A4169"/>
          <w:sz w:val="20"/>
          <w:szCs w:val="20"/>
        </w:rPr>
        <w:t xml:space="preserve">Critical Social Policy </w:t>
      </w:r>
      <w:r>
        <w:rPr>
          <w:color w:val="2A4169"/>
          <w:sz w:val="20"/>
          <w:szCs w:val="20"/>
        </w:rPr>
        <w:t xml:space="preserve">2017;37(1):22-41. </w:t>
      </w:r>
    </w:p>
    <w:p w14:paraId="387545B6" w14:textId="77777777" w:rsidR="00A218D5" w:rsidRDefault="00A218D5" w:rsidP="00A218D5">
      <w:pPr>
        <w:pStyle w:val="Default"/>
        <w:numPr>
          <w:ilvl w:val="0"/>
          <w:numId w:val="2"/>
        </w:numPr>
        <w:ind w:left="360" w:hanging="360"/>
        <w:rPr>
          <w:color w:val="2A4169"/>
          <w:sz w:val="20"/>
          <w:szCs w:val="20"/>
        </w:rPr>
      </w:pPr>
      <w:r>
        <w:rPr>
          <w:color w:val="2A4169"/>
          <w:sz w:val="20"/>
          <w:szCs w:val="20"/>
        </w:rPr>
        <w:t xml:space="preserve">National Disability Insurance Agency. Independent assessment: Selection of assessment tools. Geelong: NDIA 2020. </w:t>
      </w:r>
    </w:p>
    <w:p w14:paraId="06003409" w14:textId="77777777" w:rsidR="001E7EC2" w:rsidRDefault="00C127BE"/>
    <w:sectPr w:rsidR="001E7EC2" w:rsidSect="00A218D5">
      <w:type w:val="continuous"/>
      <w:pgSz w:w="11905" w:h="16837"/>
      <w:pgMar w:top="1400" w:right="900" w:bottom="804" w:left="900"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E3AF0EF" w14:textId="77777777" w:rsidR="00C127BE" w:rsidRDefault="00C127BE" w:rsidP="00A218D5">
      <w:r>
        <w:separator/>
      </w:r>
    </w:p>
  </w:endnote>
  <w:endnote w:type="continuationSeparator" w:id="0">
    <w:p w14:paraId="55CE2EC3" w14:textId="77777777" w:rsidR="00C127BE" w:rsidRDefault="00C127BE" w:rsidP="00A218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Source Sans Pro">
    <w:altName w:val="Source Sans Pro"/>
    <w:panose1 w:val="020B0503030403020204"/>
    <w:charset w:val="4D"/>
    <w:family w:val="swiss"/>
    <w:notTrueType/>
    <w:pitch w:val="variable"/>
    <w:sig w:usb0="20000007" w:usb1="00000001" w:usb2="00000000" w:usb3="00000000" w:csb0="00000193" w:csb1="00000000"/>
  </w:font>
  <w:font w:name="Source Sans Pro Semibold">
    <w:altName w:val="Source Sans Pro Semibold"/>
    <w:panose1 w:val="020B0603030403020204"/>
    <w:charset w:val="4D"/>
    <w:family w:val="swiss"/>
    <w:notTrueType/>
    <w:pitch w:val="variable"/>
    <w:sig w:usb0="600002F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68321045"/>
      <w:docPartObj>
        <w:docPartGallery w:val="Page Numbers (Bottom of Page)"/>
        <w:docPartUnique/>
      </w:docPartObj>
    </w:sdtPr>
    <w:sdtContent>
      <w:p w14:paraId="2D296BF2" w14:textId="2549247C" w:rsidR="00A218D5" w:rsidRDefault="00A218D5" w:rsidP="00EB613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4F604F8" w14:textId="77777777" w:rsidR="00A218D5" w:rsidRDefault="00A218D5" w:rsidP="00A218D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2129039214"/>
      <w:docPartObj>
        <w:docPartGallery w:val="Page Numbers (Bottom of Page)"/>
        <w:docPartUnique/>
      </w:docPartObj>
    </w:sdtPr>
    <w:sdtContent>
      <w:p w14:paraId="3340C5B9" w14:textId="1BA2C407" w:rsidR="00A218D5" w:rsidRDefault="00A218D5" w:rsidP="00EB613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15387DDA" w14:textId="77777777" w:rsidR="00A218D5" w:rsidRDefault="00A218D5" w:rsidP="00A218D5">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2C4F7BD" w14:textId="77777777" w:rsidR="00C127BE" w:rsidRDefault="00C127BE" w:rsidP="00A218D5">
      <w:r>
        <w:separator/>
      </w:r>
    </w:p>
  </w:footnote>
  <w:footnote w:type="continuationSeparator" w:id="0">
    <w:p w14:paraId="476136DE" w14:textId="77777777" w:rsidR="00C127BE" w:rsidRDefault="00C127BE" w:rsidP="00A218D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C090BACC"/>
    <w:multiLevelType w:val="hybridMultilevel"/>
    <w:tmpl w:val="0B14FD9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39D5723"/>
    <w:multiLevelType w:val="hybridMultilevel"/>
    <w:tmpl w:val="7C3561C1"/>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D3C4045"/>
    <w:multiLevelType w:val="hybridMultilevel"/>
    <w:tmpl w:val="D324BA58"/>
    <w:lvl w:ilvl="0" w:tplc="04090001">
      <w:start w:val="1"/>
      <w:numFmt w:val="bullet"/>
      <w:lvlText w:val=""/>
      <w:lvlJc w:val="left"/>
      <w:pPr>
        <w:ind w:left="360" w:hanging="360"/>
      </w:pPr>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defaultTabStop w:val="720"/>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218D5"/>
    <w:rsid w:val="00004CCD"/>
    <w:rsid w:val="00012798"/>
    <w:rsid w:val="000427CE"/>
    <w:rsid w:val="000433D7"/>
    <w:rsid w:val="00055979"/>
    <w:rsid w:val="0007115F"/>
    <w:rsid w:val="0009085E"/>
    <w:rsid w:val="0009282C"/>
    <w:rsid w:val="000A789C"/>
    <w:rsid w:val="000F3543"/>
    <w:rsid w:val="00103AF2"/>
    <w:rsid w:val="0011634E"/>
    <w:rsid w:val="00117BB1"/>
    <w:rsid w:val="00120275"/>
    <w:rsid w:val="0012739D"/>
    <w:rsid w:val="00196669"/>
    <w:rsid w:val="001A4894"/>
    <w:rsid w:val="001C5AE0"/>
    <w:rsid w:val="00246BC5"/>
    <w:rsid w:val="00265C24"/>
    <w:rsid w:val="00270FDE"/>
    <w:rsid w:val="002A38DC"/>
    <w:rsid w:val="002D46F9"/>
    <w:rsid w:val="002D5DCC"/>
    <w:rsid w:val="002E2514"/>
    <w:rsid w:val="002F02C6"/>
    <w:rsid w:val="0030565B"/>
    <w:rsid w:val="003063F2"/>
    <w:rsid w:val="00324736"/>
    <w:rsid w:val="003268AA"/>
    <w:rsid w:val="00335BE6"/>
    <w:rsid w:val="00336093"/>
    <w:rsid w:val="0035504F"/>
    <w:rsid w:val="0036036F"/>
    <w:rsid w:val="00375B6D"/>
    <w:rsid w:val="00375D3B"/>
    <w:rsid w:val="00395FE9"/>
    <w:rsid w:val="003C5305"/>
    <w:rsid w:val="003E7414"/>
    <w:rsid w:val="003F1E72"/>
    <w:rsid w:val="004375BF"/>
    <w:rsid w:val="00453B6D"/>
    <w:rsid w:val="00457B00"/>
    <w:rsid w:val="0047235F"/>
    <w:rsid w:val="0047330E"/>
    <w:rsid w:val="0048077C"/>
    <w:rsid w:val="004860AC"/>
    <w:rsid w:val="004A1768"/>
    <w:rsid w:val="004B181C"/>
    <w:rsid w:val="004B5932"/>
    <w:rsid w:val="004F1DFE"/>
    <w:rsid w:val="00530770"/>
    <w:rsid w:val="00533C51"/>
    <w:rsid w:val="00563DA8"/>
    <w:rsid w:val="005654D3"/>
    <w:rsid w:val="005721BB"/>
    <w:rsid w:val="005826D3"/>
    <w:rsid w:val="005A1101"/>
    <w:rsid w:val="005A2CD6"/>
    <w:rsid w:val="00616F33"/>
    <w:rsid w:val="00620AF8"/>
    <w:rsid w:val="0062254F"/>
    <w:rsid w:val="006269EE"/>
    <w:rsid w:val="00627FB8"/>
    <w:rsid w:val="00635D8D"/>
    <w:rsid w:val="0064296F"/>
    <w:rsid w:val="006442A2"/>
    <w:rsid w:val="0064530B"/>
    <w:rsid w:val="00646ADB"/>
    <w:rsid w:val="006726B3"/>
    <w:rsid w:val="006824CF"/>
    <w:rsid w:val="00694BB1"/>
    <w:rsid w:val="0069598F"/>
    <w:rsid w:val="0069700B"/>
    <w:rsid w:val="006E3778"/>
    <w:rsid w:val="00717020"/>
    <w:rsid w:val="00734656"/>
    <w:rsid w:val="007367FB"/>
    <w:rsid w:val="0076377F"/>
    <w:rsid w:val="007827FD"/>
    <w:rsid w:val="00782DC5"/>
    <w:rsid w:val="007C4F26"/>
    <w:rsid w:val="007D7B9B"/>
    <w:rsid w:val="007E347F"/>
    <w:rsid w:val="00801AED"/>
    <w:rsid w:val="00802640"/>
    <w:rsid w:val="00812570"/>
    <w:rsid w:val="0081488D"/>
    <w:rsid w:val="00822200"/>
    <w:rsid w:val="008233F3"/>
    <w:rsid w:val="00826AEF"/>
    <w:rsid w:val="00834E7C"/>
    <w:rsid w:val="00842DD5"/>
    <w:rsid w:val="00856F56"/>
    <w:rsid w:val="008700F1"/>
    <w:rsid w:val="00877FE3"/>
    <w:rsid w:val="0088419C"/>
    <w:rsid w:val="008B42EB"/>
    <w:rsid w:val="008E2492"/>
    <w:rsid w:val="008F00B5"/>
    <w:rsid w:val="00901EDF"/>
    <w:rsid w:val="00917299"/>
    <w:rsid w:val="00946030"/>
    <w:rsid w:val="00946FB4"/>
    <w:rsid w:val="00981DFA"/>
    <w:rsid w:val="00982A6E"/>
    <w:rsid w:val="00990841"/>
    <w:rsid w:val="009A2722"/>
    <w:rsid w:val="009B2939"/>
    <w:rsid w:val="00A00253"/>
    <w:rsid w:val="00A0434C"/>
    <w:rsid w:val="00A2124A"/>
    <w:rsid w:val="00A218D5"/>
    <w:rsid w:val="00A506EF"/>
    <w:rsid w:val="00A51C4A"/>
    <w:rsid w:val="00A520FC"/>
    <w:rsid w:val="00A61B7A"/>
    <w:rsid w:val="00A630BE"/>
    <w:rsid w:val="00A71D75"/>
    <w:rsid w:val="00A76C1F"/>
    <w:rsid w:val="00A8359F"/>
    <w:rsid w:val="00A9017A"/>
    <w:rsid w:val="00A92516"/>
    <w:rsid w:val="00AB2B55"/>
    <w:rsid w:val="00AC2BC5"/>
    <w:rsid w:val="00B236A7"/>
    <w:rsid w:val="00B258F2"/>
    <w:rsid w:val="00B630B2"/>
    <w:rsid w:val="00B661BD"/>
    <w:rsid w:val="00B87E5E"/>
    <w:rsid w:val="00B966BD"/>
    <w:rsid w:val="00B97DED"/>
    <w:rsid w:val="00BA2078"/>
    <w:rsid w:val="00BB2A1B"/>
    <w:rsid w:val="00BC4F01"/>
    <w:rsid w:val="00BE3C6C"/>
    <w:rsid w:val="00BE6CA0"/>
    <w:rsid w:val="00C012DB"/>
    <w:rsid w:val="00C0436C"/>
    <w:rsid w:val="00C127BE"/>
    <w:rsid w:val="00C53A3F"/>
    <w:rsid w:val="00C74A6B"/>
    <w:rsid w:val="00C94CA2"/>
    <w:rsid w:val="00CC0134"/>
    <w:rsid w:val="00CD3C8E"/>
    <w:rsid w:val="00CD4E45"/>
    <w:rsid w:val="00D24531"/>
    <w:rsid w:val="00D35A80"/>
    <w:rsid w:val="00D36219"/>
    <w:rsid w:val="00D63FE5"/>
    <w:rsid w:val="00D641C8"/>
    <w:rsid w:val="00DA4DAD"/>
    <w:rsid w:val="00DA6B85"/>
    <w:rsid w:val="00DC2493"/>
    <w:rsid w:val="00E05B88"/>
    <w:rsid w:val="00E46A05"/>
    <w:rsid w:val="00E55336"/>
    <w:rsid w:val="00E62068"/>
    <w:rsid w:val="00E94FD6"/>
    <w:rsid w:val="00EA1987"/>
    <w:rsid w:val="00EB2BF3"/>
    <w:rsid w:val="00ED080E"/>
    <w:rsid w:val="00ED39A1"/>
    <w:rsid w:val="00EE2585"/>
    <w:rsid w:val="00EE46E6"/>
    <w:rsid w:val="00EE4FD9"/>
    <w:rsid w:val="00F01FF7"/>
    <w:rsid w:val="00F0272E"/>
    <w:rsid w:val="00F07711"/>
    <w:rsid w:val="00F302D2"/>
    <w:rsid w:val="00F9115D"/>
    <w:rsid w:val="00FD31C8"/>
    <w:rsid w:val="00FD7BDE"/>
    <w:rsid w:val="00FF6CE1"/>
  </w:rsids>
  <m:mathPr>
    <m:mathFont m:val="Cambria Math"/>
    <m:brkBin m:val="before"/>
    <m:brkBinSub m:val="--"/>
    <m:smallFrac m:val="0"/>
    <m:dispDef/>
    <m:lMargin m:val="0"/>
    <m:rMargin m:val="0"/>
    <m:defJc m:val="centerGroup"/>
    <m:wrapIndent m:val="1440"/>
    <m:intLim m:val="subSup"/>
    <m:naryLim m:val="undOvr"/>
  </m:mathPr>
  <w:themeFontLang w:val="en-AU" w:eastAsia="zh-CN" w:bidi="ar-SA"/>
  <w:clrSchemeMapping w:bg1="light1" w:t1="dark1" w:bg2="light2" w:t2="dark2" w:accent1="accent1" w:accent2="accent2" w:accent3="accent3" w:accent4="accent4" w:accent5="accent5" w:accent6="accent6" w:hyperlink="hyperlink" w:followedHyperlink="followedHyperlink"/>
  <w:decimalSymbol w:val="."/>
  <w:listSeparator w:val=","/>
  <w14:docId w14:val="088D21BD"/>
  <w15:chartTrackingRefBased/>
  <w15:docId w15:val="{0E97819B-461A-C848-AB99-FC9FE07D44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AU"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A218D5"/>
    <w:pPr>
      <w:autoSpaceDE w:val="0"/>
      <w:autoSpaceDN w:val="0"/>
      <w:adjustRightInd w:val="0"/>
    </w:pPr>
    <w:rPr>
      <w:rFonts w:ascii="Source Sans Pro" w:hAnsi="Source Sans Pro" w:cs="Source Sans Pro"/>
      <w:color w:val="000000"/>
      <w:lang w:val="en-US"/>
    </w:rPr>
  </w:style>
  <w:style w:type="character" w:customStyle="1" w:styleId="A8">
    <w:name w:val="A8"/>
    <w:uiPriority w:val="99"/>
    <w:rsid w:val="00A218D5"/>
    <w:rPr>
      <w:rFonts w:cs="Source Sans Pro"/>
      <w:b/>
      <w:bCs/>
      <w:color w:val="FFFFFF"/>
      <w:sz w:val="30"/>
      <w:szCs w:val="30"/>
    </w:rPr>
  </w:style>
  <w:style w:type="paragraph" w:customStyle="1" w:styleId="Pa2">
    <w:name w:val="Pa2"/>
    <w:basedOn w:val="Default"/>
    <w:next w:val="Default"/>
    <w:uiPriority w:val="99"/>
    <w:rsid w:val="00A218D5"/>
    <w:pPr>
      <w:spacing w:line="201" w:lineRule="atLeast"/>
    </w:pPr>
    <w:rPr>
      <w:rFonts w:cstheme="minorBidi"/>
      <w:color w:val="auto"/>
    </w:rPr>
  </w:style>
  <w:style w:type="character" w:customStyle="1" w:styleId="A5">
    <w:name w:val="A5"/>
    <w:uiPriority w:val="99"/>
    <w:rsid w:val="00A218D5"/>
    <w:rPr>
      <w:rFonts w:cs="Source Sans Pro"/>
      <w:b/>
      <w:bCs/>
      <w:color w:val="2A4169"/>
    </w:rPr>
  </w:style>
  <w:style w:type="character" w:customStyle="1" w:styleId="A6">
    <w:name w:val="A6"/>
    <w:uiPriority w:val="99"/>
    <w:rsid w:val="00A218D5"/>
    <w:rPr>
      <w:rFonts w:ascii="Source Sans Pro Semibold" w:hAnsi="Source Sans Pro Semibold" w:cs="Source Sans Pro Semibold"/>
      <w:b/>
      <w:bCs/>
      <w:color w:val="2A4169"/>
      <w:sz w:val="22"/>
      <w:szCs w:val="22"/>
    </w:rPr>
  </w:style>
  <w:style w:type="character" w:customStyle="1" w:styleId="A7">
    <w:name w:val="A7"/>
    <w:uiPriority w:val="99"/>
    <w:rsid w:val="00A218D5"/>
    <w:rPr>
      <w:rFonts w:cs="Source Sans Pro"/>
      <w:color w:val="2A4169"/>
      <w:sz w:val="11"/>
      <w:szCs w:val="11"/>
    </w:rPr>
  </w:style>
  <w:style w:type="paragraph" w:customStyle="1" w:styleId="Pa6">
    <w:name w:val="Pa6"/>
    <w:basedOn w:val="Default"/>
    <w:next w:val="Default"/>
    <w:uiPriority w:val="99"/>
    <w:rsid w:val="00A218D5"/>
    <w:pPr>
      <w:spacing w:line="201" w:lineRule="atLeast"/>
    </w:pPr>
    <w:rPr>
      <w:rFonts w:cstheme="minorBidi"/>
      <w:color w:val="auto"/>
    </w:rPr>
  </w:style>
  <w:style w:type="paragraph" w:customStyle="1" w:styleId="Pa7">
    <w:name w:val="Pa7"/>
    <w:basedOn w:val="Default"/>
    <w:next w:val="Default"/>
    <w:uiPriority w:val="99"/>
    <w:rsid w:val="00A218D5"/>
    <w:pPr>
      <w:spacing w:line="253" w:lineRule="atLeast"/>
    </w:pPr>
    <w:rPr>
      <w:rFonts w:cstheme="minorBidi"/>
      <w:color w:val="auto"/>
    </w:rPr>
  </w:style>
  <w:style w:type="character" w:customStyle="1" w:styleId="A4">
    <w:name w:val="A4"/>
    <w:uiPriority w:val="99"/>
    <w:rsid w:val="00A218D5"/>
    <w:rPr>
      <w:rFonts w:cs="Source Sans Pro"/>
      <w:color w:val="0000FF"/>
      <w:sz w:val="20"/>
      <w:szCs w:val="20"/>
      <w:u w:val="single"/>
    </w:rPr>
  </w:style>
  <w:style w:type="character" w:customStyle="1" w:styleId="A1">
    <w:name w:val="A1"/>
    <w:uiPriority w:val="99"/>
    <w:rsid w:val="00A218D5"/>
    <w:rPr>
      <w:rFonts w:cs="Source Sans Pro"/>
      <w:b/>
      <w:bCs/>
      <w:color w:val="3F4D72"/>
      <w:sz w:val="28"/>
      <w:szCs w:val="28"/>
    </w:rPr>
  </w:style>
  <w:style w:type="character" w:styleId="Hyperlink">
    <w:name w:val="Hyperlink"/>
    <w:basedOn w:val="DefaultParagraphFont"/>
    <w:uiPriority w:val="99"/>
    <w:unhideWhenUsed/>
    <w:rsid w:val="00A218D5"/>
    <w:rPr>
      <w:color w:val="0563C1" w:themeColor="hyperlink"/>
      <w:u w:val="single"/>
    </w:rPr>
  </w:style>
  <w:style w:type="character" w:styleId="UnresolvedMention">
    <w:name w:val="Unresolved Mention"/>
    <w:basedOn w:val="DefaultParagraphFont"/>
    <w:uiPriority w:val="99"/>
    <w:semiHidden/>
    <w:unhideWhenUsed/>
    <w:rsid w:val="00A218D5"/>
    <w:rPr>
      <w:color w:val="605E5C"/>
      <w:shd w:val="clear" w:color="auto" w:fill="E1DFDD"/>
    </w:rPr>
  </w:style>
  <w:style w:type="paragraph" w:styleId="Footer">
    <w:name w:val="footer"/>
    <w:basedOn w:val="Normal"/>
    <w:link w:val="FooterChar"/>
    <w:uiPriority w:val="99"/>
    <w:unhideWhenUsed/>
    <w:rsid w:val="00A218D5"/>
    <w:pPr>
      <w:tabs>
        <w:tab w:val="center" w:pos="4513"/>
        <w:tab w:val="right" w:pos="9026"/>
      </w:tabs>
    </w:pPr>
  </w:style>
  <w:style w:type="character" w:customStyle="1" w:styleId="FooterChar">
    <w:name w:val="Footer Char"/>
    <w:basedOn w:val="DefaultParagraphFont"/>
    <w:link w:val="Footer"/>
    <w:uiPriority w:val="99"/>
    <w:rsid w:val="00A218D5"/>
  </w:style>
  <w:style w:type="character" w:styleId="PageNumber">
    <w:name w:val="page number"/>
    <w:basedOn w:val="DefaultParagraphFont"/>
    <w:uiPriority w:val="99"/>
    <w:semiHidden/>
    <w:unhideWhenUsed/>
    <w:rsid w:val="00A218D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yperlink" Target="mailto:cre-dh@unimelb.edu.au" TargetMode="External"/><Relationship Id="rId4" Type="http://schemas.openxmlformats.org/officeDocument/2006/relationships/webSettings" Target="webSetting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7</TotalTime>
  <Pages>7</Pages>
  <Words>3926</Words>
  <Characters>22382</Characters>
  <Application>Microsoft Office Word</Application>
  <DocSecurity>0</DocSecurity>
  <Lines>186</Lines>
  <Paragraphs>52</Paragraphs>
  <ScaleCrop>false</ScaleCrop>
  <Company/>
  <LinksUpToDate>false</LinksUpToDate>
  <CharactersWithSpaces>26256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Mellissa Kavenagh</dc:creator>
  <cp:keywords/>
  <dc:description/>
  <cp:lastModifiedBy>Mellissa Kavenagh</cp:lastModifiedBy>
  <cp:revision>1</cp:revision>
  <dcterms:created xsi:type="dcterms:W3CDTF">2021-06-09T04:23:00Z</dcterms:created>
  <dcterms:modified xsi:type="dcterms:W3CDTF">2021-06-09T04:30:00Z</dcterms:modified>
</cp:coreProperties>
</file>